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A3" w:rsidRPr="003400A3" w:rsidRDefault="0025710F" w:rsidP="0025710F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5880538</wp:posOffset>
                </wp:positionH>
                <wp:positionV relativeFrom="paragraph">
                  <wp:posOffset>33108</wp:posOffset>
                </wp:positionV>
                <wp:extent cx="819807" cy="677917"/>
                <wp:effectExtent l="0" t="0" r="1841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677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10F" w:rsidRDefault="002571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B824A" wp14:editId="71522972">
                                  <wp:extent cx="630555" cy="958331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555" cy="958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3.05pt;margin-top:2.6pt;width:64.55pt;height:5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" fillcolor="white [3201]" strokeweight=".5pt">
                <v:textbox>
                  <w:txbxContent>
                    <w:p w:rsidR="0025710F" w:rsidRDefault="0025710F">
                      <w:r>
                        <w:rPr>
                          <w:noProof/>
                        </w:rPr>
                        <w:drawing>
                          <wp:inline distT="0" distB="0" distL="0" distR="0" wp14:anchorId="43CB824A" wp14:editId="71522972">
                            <wp:extent cx="630555" cy="958331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555" cy="958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5710F">
        <w:rPr>
          <w:b/>
          <w:highlight w:val="yellow"/>
        </w:rPr>
        <w:t>HELP Doc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4806"/>
        <w:gridCol w:w="4806"/>
        <w:gridCol w:w="3276"/>
        <w:gridCol w:w="270"/>
        <w:gridCol w:w="360"/>
        <w:gridCol w:w="270"/>
        <w:gridCol w:w="360"/>
        <w:gridCol w:w="270"/>
      </w:tblGrid>
      <w:tr w:rsidR="003400A3" w:rsidTr="003400A3">
        <w:trPr>
          <w:trHeight w:val="168"/>
        </w:trPr>
        <w:tc>
          <w:tcPr>
            <w:tcW w:w="14418" w:type="dxa"/>
            <w:gridSpan w:val="8"/>
            <w:shd w:val="clear" w:color="auto" w:fill="D9D9D9" w:themeFill="background1" w:themeFillShade="D9"/>
          </w:tcPr>
          <w:p w:rsidR="003400A3" w:rsidRDefault="003400A3" w:rsidP="00F30B7B">
            <w:pPr>
              <w:pStyle w:val="Default"/>
              <w:rPr>
                <w:b/>
              </w:rPr>
            </w:pPr>
            <w:r w:rsidRPr="007877FA">
              <w:rPr>
                <w:b/>
              </w:rPr>
              <w:t>WRITING</w:t>
            </w:r>
            <w:r w:rsidRPr="008E03A1">
              <w:rPr>
                <w:b/>
              </w:rPr>
              <w:t xml:space="preserve"> </w:t>
            </w:r>
            <w:r w:rsidRPr="007877FA">
              <w:rPr>
                <w:b/>
              </w:rPr>
              <w:t>ASSIGNMENTS</w:t>
            </w:r>
          </w:p>
          <w:p w:rsidR="0025710F" w:rsidRDefault="0025710F" w:rsidP="00F30B7B">
            <w:pPr>
              <w:pStyle w:val="Default"/>
              <w:rPr>
                <w:b/>
              </w:rPr>
            </w:pPr>
          </w:p>
          <w:p w:rsidR="0025710F" w:rsidRPr="007877FA" w:rsidRDefault="0025710F" w:rsidP="00F30B7B">
            <w:pPr>
              <w:pStyle w:val="Default"/>
              <w:rPr>
                <w:b/>
                <w:bCs/>
                <w:color w:val="00B050"/>
                <w:sz w:val="20"/>
                <w:szCs w:val="20"/>
              </w:rPr>
            </w:pPr>
          </w:p>
        </w:tc>
      </w:tr>
      <w:tr w:rsidR="003400A3" w:rsidTr="00575214">
        <w:trPr>
          <w:trHeight w:val="429"/>
        </w:trPr>
        <w:tc>
          <w:tcPr>
            <w:tcW w:w="4806" w:type="dxa"/>
            <w:shd w:val="clear" w:color="auto" w:fill="auto"/>
          </w:tcPr>
          <w:p w:rsidR="003400A3" w:rsidRPr="003F32E9" w:rsidRDefault="001653DA" w:rsidP="00F30B7B">
            <w:pPr>
              <w:pStyle w:val="Default"/>
              <w:numPr>
                <w:ilvl w:val="0"/>
                <w:numId w:val="1"/>
              </w:numPr>
              <w:rPr>
                <w:color w:val="00B050"/>
                <w:sz w:val="22"/>
                <w:szCs w:val="22"/>
              </w:rPr>
            </w:pPr>
            <w:hyperlink r:id="rId7" w:history="1">
              <w:r w:rsidR="003400A3" w:rsidRPr="004F58AF">
                <w:rPr>
                  <w:rStyle w:val="Hyperlink"/>
                  <w:b/>
                  <w:bCs/>
                  <w:sz w:val="22"/>
                  <w:szCs w:val="22"/>
                </w:rPr>
                <w:t>Writing</w:t>
              </w:r>
            </w:hyperlink>
            <w:r w:rsidR="003400A3" w:rsidRPr="003F32E9">
              <w:rPr>
                <w:b/>
                <w:bCs/>
                <w:color w:val="00B050"/>
                <w:sz w:val="22"/>
                <w:szCs w:val="22"/>
              </w:rPr>
              <w:t xml:space="preserve"> from </w:t>
            </w:r>
            <w:r w:rsidR="003400A3" w:rsidRPr="004F58AF">
              <w:rPr>
                <w:b/>
                <w:bCs/>
                <w:color w:val="00B050"/>
                <w:sz w:val="22"/>
                <w:szCs w:val="22"/>
              </w:rPr>
              <w:t>Sources</w:t>
            </w:r>
            <w:r w:rsidR="003400A3" w:rsidRPr="003F32E9">
              <w:rPr>
                <w:b/>
                <w:bCs/>
                <w:color w:val="00B050"/>
                <w:sz w:val="22"/>
                <w:szCs w:val="22"/>
              </w:rPr>
              <w:t xml:space="preserve">: </w:t>
            </w:r>
            <w:hyperlink r:id="rId8" w:history="1">
              <w:r w:rsidR="003400A3" w:rsidRPr="003F32E9">
                <w:rPr>
                  <w:rStyle w:val="Hyperlink"/>
                  <w:sz w:val="22"/>
                  <w:szCs w:val="22"/>
                </w:rPr>
                <w:t>Routinely</w:t>
              </w:r>
            </w:hyperlink>
            <w:r w:rsidR="003400A3" w:rsidRPr="003F32E9">
              <w:rPr>
                <w:color w:val="00B050"/>
                <w:sz w:val="22"/>
                <w:szCs w:val="22"/>
              </w:rPr>
              <w:t xml:space="preserve"> expects that students draw </w:t>
            </w:r>
            <w:hyperlink r:id="rId9" w:history="1">
              <w:r w:rsidR="003400A3" w:rsidRPr="004F58AF">
                <w:rPr>
                  <w:rStyle w:val="Hyperlink"/>
                  <w:sz w:val="22"/>
                  <w:szCs w:val="22"/>
                </w:rPr>
                <w:t>evidence</w:t>
              </w:r>
            </w:hyperlink>
            <w:r w:rsidR="003400A3" w:rsidRPr="003F32E9">
              <w:rPr>
                <w:color w:val="00B050"/>
                <w:sz w:val="22"/>
                <w:szCs w:val="22"/>
              </w:rPr>
              <w:t xml:space="preserve"> from texts to produce </w:t>
            </w:r>
            <w:hyperlink r:id="rId10" w:history="1">
              <w:r w:rsidR="003400A3" w:rsidRPr="00727A33">
                <w:rPr>
                  <w:rStyle w:val="Hyperlink"/>
                  <w:sz w:val="22"/>
                  <w:szCs w:val="22"/>
                </w:rPr>
                <w:t>clear and coherent writing</w:t>
              </w:r>
            </w:hyperlink>
            <w:r w:rsidR="003400A3" w:rsidRPr="003F32E9">
              <w:rPr>
                <w:color w:val="00B050"/>
                <w:sz w:val="22"/>
                <w:szCs w:val="22"/>
              </w:rPr>
              <w:t xml:space="preserve"> that informs, explains, or makes an argument in various written forms (notes, summaries, short </w:t>
            </w:r>
            <w:r w:rsidR="003F32E9">
              <w:rPr>
                <w:color w:val="00B050"/>
                <w:sz w:val="22"/>
                <w:szCs w:val="22"/>
              </w:rPr>
              <w:t>responses, or formal essays).</w:t>
            </w:r>
          </w:p>
        </w:tc>
        <w:tc>
          <w:tcPr>
            <w:tcW w:w="4806" w:type="dxa"/>
            <w:shd w:val="clear" w:color="auto" w:fill="auto"/>
          </w:tcPr>
          <w:p w:rsidR="003400A3" w:rsidRPr="003F32E9" w:rsidRDefault="001653DA" w:rsidP="00F30B7B">
            <w:pPr>
              <w:pStyle w:val="Default"/>
              <w:numPr>
                <w:ilvl w:val="0"/>
                <w:numId w:val="1"/>
              </w:numPr>
              <w:rPr>
                <w:color w:val="00B050"/>
                <w:sz w:val="22"/>
                <w:szCs w:val="22"/>
              </w:rPr>
            </w:pPr>
            <w:hyperlink r:id="rId11" w:history="1">
              <w:r w:rsidR="003400A3" w:rsidRPr="003F32E9">
                <w:rPr>
                  <w:rStyle w:val="Hyperlink"/>
                  <w:b/>
                  <w:bCs/>
                  <w:sz w:val="22"/>
                  <w:szCs w:val="22"/>
                </w:rPr>
                <w:t>Balance</w:t>
              </w:r>
            </w:hyperlink>
            <w:r w:rsidR="003400A3" w:rsidRPr="003F32E9">
              <w:rPr>
                <w:b/>
                <w:bCs/>
                <w:color w:val="00B050"/>
                <w:sz w:val="22"/>
                <w:szCs w:val="22"/>
              </w:rPr>
              <w:t xml:space="preserve"> of Writing: </w:t>
            </w:r>
            <w:r w:rsidR="003400A3" w:rsidRPr="003F32E9">
              <w:rPr>
                <w:color w:val="00B050"/>
                <w:sz w:val="22"/>
                <w:szCs w:val="22"/>
              </w:rPr>
              <w:t>Includes a balance of on-demand and process writing (e.g. multiple drafts and revisions over time) and short, focused research projects, incorporating digital texts where appropriate.</w:t>
            </w:r>
          </w:p>
        </w:tc>
        <w:tc>
          <w:tcPr>
            <w:tcW w:w="4806" w:type="dxa"/>
            <w:gridSpan w:val="6"/>
            <w:shd w:val="clear" w:color="auto" w:fill="auto"/>
          </w:tcPr>
          <w:p w:rsidR="003400A3" w:rsidRPr="003F32E9" w:rsidRDefault="003400A3" w:rsidP="00F30B7B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F32E9">
              <w:rPr>
                <w:color w:val="7030A0"/>
                <w:sz w:val="22"/>
                <w:szCs w:val="22"/>
              </w:rPr>
              <w:t xml:space="preserve">Integrates targeted instruction in such areas as grammar and conventions, writing </w:t>
            </w:r>
            <w:hyperlink r:id="rId12" w:history="1">
              <w:r w:rsidRPr="003F32E9">
                <w:rPr>
                  <w:rStyle w:val="Hyperlink"/>
                  <w:sz w:val="22"/>
                  <w:szCs w:val="22"/>
                </w:rPr>
                <w:t>strategies</w:t>
              </w:r>
            </w:hyperlink>
            <w:r w:rsidR="00042B1F" w:rsidRPr="003F32E9">
              <w:rPr>
                <w:color w:val="7030A0"/>
                <w:sz w:val="22"/>
                <w:szCs w:val="22"/>
              </w:rPr>
              <w:t>, and fluency (3-12)</w:t>
            </w:r>
          </w:p>
          <w:p w:rsidR="00042B1F" w:rsidRPr="003F32E9" w:rsidRDefault="00042B1F" w:rsidP="00F30B7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3F32E9">
              <w:rPr>
                <w:rFonts w:asciiTheme="minorHAnsi" w:hAnsiTheme="minorHAnsi"/>
                <w:color w:val="7030A0"/>
                <w:sz w:val="22"/>
                <w:szCs w:val="22"/>
              </w:rPr>
              <w:t>Integrates targeted instruction in multiple areas such as grammar and syntax, writing strategies, discussion rules and aspects of foundational reading. (K-2)</w:t>
            </w:r>
          </w:p>
        </w:tc>
      </w:tr>
      <w:tr w:rsidR="003400A3" w:rsidTr="00575214">
        <w:trPr>
          <w:trHeight w:val="428"/>
        </w:trPr>
        <w:tc>
          <w:tcPr>
            <w:tcW w:w="4806" w:type="dxa"/>
            <w:shd w:val="clear" w:color="auto" w:fill="auto"/>
          </w:tcPr>
          <w:p w:rsidR="003F32E9" w:rsidRDefault="003F32E9" w:rsidP="006616C6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2E9">
              <w:rPr>
                <w:sz w:val="22"/>
                <w:szCs w:val="22"/>
              </w:rPr>
              <w:t>Have you considered adding one of the forms of writing to this unit? What is the logical fit?</w:t>
            </w:r>
          </w:p>
          <w:p w:rsidR="003F32E9" w:rsidRDefault="003F32E9" w:rsidP="006616C6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you model the type of writing with your text set selections?</w:t>
            </w:r>
          </w:p>
          <w:p w:rsidR="003F32E9" w:rsidRPr="003F32E9" w:rsidRDefault="003F32E9" w:rsidP="006616C6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will you model finding evidence with your text dependent questions so that students connect evidence with text type?</w:t>
            </w:r>
          </w:p>
          <w:p w:rsidR="003400A3" w:rsidRPr="003F32E9" w:rsidRDefault="003F32E9" w:rsidP="00F30B7B">
            <w:pPr>
              <w:pStyle w:val="Default"/>
              <w:rPr>
                <w:b/>
                <w:sz w:val="22"/>
                <w:szCs w:val="22"/>
              </w:rPr>
            </w:pPr>
            <w:r w:rsidRPr="003F32E9">
              <w:rPr>
                <w:b/>
                <w:sz w:val="22"/>
                <w:szCs w:val="22"/>
              </w:rPr>
              <w:t xml:space="preserve">Note: </w:t>
            </w:r>
            <w:r w:rsidRPr="003F32E9">
              <w:rPr>
                <w:i/>
                <w:sz w:val="22"/>
                <w:szCs w:val="22"/>
              </w:rPr>
              <w:t xml:space="preserve">The goal is that there is </w:t>
            </w:r>
            <w:proofErr w:type="gramStart"/>
            <w:r w:rsidRPr="003F32E9">
              <w:rPr>
                <w:i/>
                <w:sz w:val="22"/>
                <w:szCs w:val="22"/>
              </w:rPr>
              <w:t>a flow to making it happen as students connect</w:t>
            </w:r>
            <w:proofErr w:type="gramEnd"/>
            <w:r w:rsidRPr="003F32E9">
              <w:rPr>
                <w:i/>
                <w:sz w:val="22"/>
                <w:szCs w:val="22"/>
              </w:rPr>
              <w:t xml:space="preserve"> reading, viewing, listening, researching to </w:t>
            </w:r>
            <w:hyperlink r:id="rId13" w:history="1">
              <w:r w:rsidRPr="004F58AF">
                <w:rPr>
                  <w:rStyle w:val="Hyperlink"/>
                  <w:i/>
                  <w:sz w:val="22"/>
                  <w:szCs w:val="22"/>
                </w:rPr>
                <w:t>writing</w:t>
              </w:r>
            </w:hyperlink>
            <w:r w:rsidRPr="003F32E9">
              <w:rPr>
                <w:i/>
                <w:sz w:val="22"/>
                <w:szCs w:val="22"/>
              </w:rPr>
              <w:t xml:space="preserve"> as communication. </w:t>
            </w:r>
          </w:p>
        </w:tc>
        <w:tc>
          <w:tcPr>
            <w:tcW w:w="4806" w:type="dxa"/>
            <w:shd w:val="clear" w:color="auto" w:fill="auto"/>
          </w:tcPr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>Have writing tasks of various lengths been included within the unit?</w:t>
            </w:r>
          </w:p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>Is both on-demand and process writing included in the unit?</w:t>
            </w:r>
          </w:p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>Does the writing enhance the understanding of subject area content and lead students to answers to the essential questions that form the purpose of the unit?</w:t>
            </w:r>
          </w:p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>Has digital, as well as print, text been included as background for the writing that is done?</w:t>
            </w:r>
          </w:p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 xml:space="preserve">Does the text used provide </w:t>
            </w:r>
            <w:r w:rsidRPr="003F32E9">
              <w:rPr>
                <w:color w:val="000000" w:themeColor="text1"/>
              </w:rPr>
              <w:t xml:space="preserve">examples of the </w:t>
            </w:r>
            <w:r w:rsidRPr="003F32E9">
              <w:t>types of thinking and writing that students will be doing as they complete the writing tasks</w:t>
            </w:r>
            <w:r w:rsidR="00042B1F" w:rsidRPr="003F32E9">
              <w:t xml:space="preserve"> in this unit, especially if the culminating task is writing</w:t>
            </w:r>
            <w:r w:rsidRPr="003F32E9">
              <w:t>?</w:t>
            </w:r>
          </w:p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>What pre-writing activities will be used to prepare students for writing?</w:t>
            </w:r>
          </w:p>
          <w:p w:rsidR="003400A3" w:rsidRPr="003F32E9" w:rsidRDefault="003400A3" w:rsidP="006616C6">
            <w:pPr>
              <w:pStyle w:val="ListParagraph"/>
              <w:numPr>
                <w:ilvl w:val="0"/>
                <w:numId w:val="9"/>
              </w:numPr>
            </w:pPr>
            <w:r w:rsidRPr="003F32E9">
              <w:t>What writing skills must be taught explicitly / directly in order for students to complete the writing tasks</w:t>
            </w:r>
            <w:r w:rsidR="00042B1F" w:rsidRPr="003F32E9">
              <w:t xml:space="preserve"> with success</w:t>
            </w:r>
            <w:r w:rsidRPr="003F32E9">
              <w:t>?</w:t>
            </w:r>
          </w:p>
          <w:p w:rsidR="00042B1F" w:rsidRPr="003F32E9" w:rsidRDefault="00042B1F" w:rsidP="003F32E9">
            <w:pPr>
              <w:pStyle w:val="ListParagraph"/>
              <w:ind w:left="0"/>
              <w:rPr>
                <w:i/>
              </w:rPr>
            </w:pPr>
            <w:r w:rsidRPr="003F32E9">
              <w:rPr>
                <w:b/>
                <w:i/>
              </w:rPr>
              <w:t>Note</w:t>
            </w:r>
            <w:r w:rsidRPr="003F32E9">
              <w:rPr>
                <w:i/>
              </w:rPr>
              <w:t>: The intent of this criterion is to ensure that students have r</w:t>
            </w:r>
            <w:r w:rsidR="003F32E9">
              <w:rPr>
                <w:i/>
              </w:rPr>
              <w:t>egular practice with writing.</w:t>
            </w:r>
          </w:p>
        </w:tc>
        <w:tc>
          <w:tcPr>
            <w:tcW w:w="4806" w:type="dxa"/>
            <w:gridSpan w:val="6"/>
            <w:shd w:val="clear" w:color="auto" w:fill="auto"/>
          </w:tcPr>
          <w:p w:rsidR="00042B1F" w:rsidRPr="003F32E9" w:rsidRDefault="003400A3" w:rsidP="006616C6">
            <w:pPr>
              <w:pStyle w:val="ListParagraph"/>
              <w:numPr>
                <w:ilvl w:val="0"/>
                <w:numId w:val="10"/>
              </w:numPr>
            </w:pPr>
            <w:r w:rsidRPr="003F32E9">
              <w:t xml:space="preserve">How does </w:t>
            </w:r>
            <w:r w:rsidR="00042B1F" w:rsidRPr="003F32E9">
              <w:t xml:space="preserve">the unit integrate instruction </w:t>
            </w:r>
            <w:r w:rsidRPr="003F32E9">
              <w:t>writing, grammar,</w:t>
            </w:r>
            <w:r w:rsidR="00727A33">
              <w:t xml:space="preserve"> </w:t>
            </w:r>
            <w:hyperlink r:id="rId14" w:history="1">
              <w:r w:rsidR="00727A33" w:rsidRPr="00255CCC">
                <w:rPr>
                  <w:rStyle w:val="Hyperlink"/>
                </w:rPr>
                <w:t>discussion rules</w:t>
              </w:r>
            </w:hyperlink>
            <w:r w:rsidRPr="003F32E9">
              <w:t>, and foundational reading?</w:t>
            </w:r>
            <w:r w:rsidR="008B461C">
              <w:t xml:space="preserve"> </w:t>
            </w:r>
          </w:p>
          <w:p w:rsidR="00042B1F" w:rsidRPr="003F32E9" w:rsidRDefault="003400A3" w:rsidP="006616C6">
            <w:pPr>
              <w:pStyle w:val="ListParagraph"/>
              <w:numPr>
                <w:ilvl w:val="0"/>
                <w:numId w:val="10"/>
              </w:numPr>
            </w:pPr>
            <w:r w:rsidRPr="003F32E9">
              <w:t>Are the integrated areas being assessed formatively? How does the student know they have improved?</w:t>
            </w:r>
          </w:p>
          <w:p w:rsidR="00042B1F" w:rsidRPr="003F32E9" w:rsidRDefault="00042B1F" w:rsidP="00042B1F">
            <w:pPr>
              <w:rPr>
                <w:i/>
              </w:rPr>
            </w:pPr>
            <w:r w:rsidRPr="003F32E9">
              <w:rPr>
                <w:b/>
                <w:i/>
              </w:rPr>
              <w:t>Note:</w:t>
            </w:r>
            <w:r w:rsidRPr="003F32E9">
              <w:rPr>
                <w:i/>
              </w:rPr>
              <w:t xml:space="preserve"> The focus is on a natural integration. It is about making the unit better not stuffed. Consider the cognitive load of the unit. </w:t>
            </w:r>
            <w:r w:rsidR="003F32E9" w:rsidRPr="003F32E9">
              <w:rPr>
                <w:i/>
              </w:rPr>
              <w:t>Content, evidence, and reasoning always count</w:t>
            </w:r>
            <w:r w:rsidR="003F32E9">
              <w:rPr>
                <w:i/>
              </w:rPr>
              <w:t>,</w:t>
            </w:r>
            <w:r w:rsidR="003F32E9" w:rsidRPr="003F32E9">
              <w:rPr>
                <w:i/>
              </w:rPr>
              <w:t xml:space="preserve"> but you do not always have to fo</w:t>
            </w:r>
            <w:r w:rsidR="003F32E9">
              <w:rPr>
                <w:i/>
              </w:rPr>
              <w:t>cus on gra</w:t>
            </w:r>
            <w:bookmarkStart w:id="0" w:name="_GoBack"/>
            <w:bookmarkEnd w:id="0"/>
            <w:r w:rsidR="003F32E9">
              <w:rPr>
                <w:i/>
              </w:rPr>
              <w:t>mmar and conventions.</w:t>
            </w:r>
          </w:p>
        </w:tc>
      </w:tr>
      <w:tr w:rsidR="003400A3" w:rsidTr="003400A3">
        <w:trPr>
          <w:trHeight w:val="168"/>
        </w:trPr>
        <w:tc>
          <w:tcPr>
            <w:tcW w:w="12888" w:type="dxa"/>
            <w:gridSpan w:val="3"/>
            <w:vMerge w:val="restart"/>
            <w:shd w:val="clear" w:color="auto" w:fill="D9D9D9" w:themeFill="background1" w:themeFillShade="D9"/>
          </w:tcPr>
          <w:p w:rsidR="003400A3" w:rsidRPr="008E03A1" w:rsidRDefault="003400A3" w:rsidP="00F30B7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400A3" w:rsidRPr="00D371E2" w:rsidRDefault="001653DA" w:rsidP="00F30B7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727A33" w:rsidRPr="00B13D91">
                <w:rPr>
                  <w:rStyle w:val="Hyperlink"/>
                  <w:b/>
                  <w:sz w:val="20"/>
                  <w:szCs w:val="20"/>
                </w:rPr>
                <w:t>Type</w:t>
              </w:r>
            </w:hyperlink>
          </w:p>
        </w:tc>
        <w:tc>
          <w:tcPr>
            <w:tcW w:w="270" w:type="dxa"/>
            <w:vMerge w:val="restart"/>
          </w:tcPr>
          <w:p w:rsidR="003400A3" w:rsidRPr="003B0D98" w:rsidRDefault="003400A3" w:rsidP="00F30B7B">
            <w:pPr>
              <w:pStyle w:val="Default"/>
              <w:rPr>
                <w:sz w:val="20"/>
                <w:szCs w:val="20"/>
              </w:rPr>
            </w:pPr>
            <w:r w:rsidRPr="007877FA">
              <w:rPr>
                <w:color w:val="7030A0"/>
                <w:sz w:val="20"/>
                <w:szCs w:val="20"/>
              </w:rPr>
              <w:t xml:space="preserve"> </w:t>
            </w:r>
          </w:p>
        </w:tc>
      </w:tr>
      <w:tr w:rsidR="003400A3" w:rsidTr="003400A3">
        <w:trPr>
          <w:trHeight w:val="168"/>
        </w:trPr>
        <w:tc>
          <w:tcPr>
            <w:tcW w:w="12888" w:type="dxa"/>
            <w:gridSpan w:val="3"/>
            <w:vMerge/>
            <w:shd w:val="clear" w:color="auto" w:fill="D9D9D9" w:themeFill="background1" w:themeFillShade="D9"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3400A3" w:rsidRPr="006B6366" w:rsidRDefault="003400A3" w:rsidP="00F30B7B">
            <w:pPr>
              <w:jc w:val="center"/>
              <w:rPr>
                <w:b/>
                <w:sz w:val="24"/>
                <w:szCs w:val="24"/>
              </w:rPr>
            </w:pPr>
            <w:r w:rsidRPr="006B636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60" w:type="dxa"/>
            <w:vAlign w:val="center"/>
          </w:tcPr>
          <w:p w:rsidR="003400A3" w:rsidRPr="00D371E2" w:rsidRDefault="003400A3" w:rsidP="00F30B7B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70" w:type="dxa"/>
            <w:vAlign w:val="center"/>
          </w:tcPr>
          <w:p w:rsidR="003400A3" w:rsidRPr="00D371E2" w:rsidRDefault="003400A3" w:rsidP="00F30B7B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60" w:type="dxa"/>
            <w:vAlign w:val="center"/>
          </w:tcPr>
          <w:p w:rsidR="003400A3" w:rsidRPr="00D371E2" w:rsidRDefault="003400A3" w:rsidP="00F30B7B">
            <w:pPr>
              <w:jc w:val="center"/>
              <w:rPr>
                <w:b/>
                <w:sz w:val="20"/>
                <w:szCs w:val="20"/>
              </w:rPr>
            </w:pPr>
            <w:r w:rsidRPr="00D371E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270" w:type="dxa"/>
            <w:vMerge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</w:tr>
      <w:tr w:rsidR="003400A3" w:rsidTr="003400A3">
        <w:trPr>
          <w:trHeight w:val="629"/>
        </w:trPr>
        <w:tc>
          <w:tcPr>
            <w:tcW w:w="12888" w:type="dxa"/>
            <w:gridSpan w:val="3"/>
          </w:tcPr>
          <w:p w:rsidR="003400A3" w:rsidRPr="00D371E2" w:rsidRDefault="003400A3" w:rsidP="00F30B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Process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On Demand  |  Structure: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C/C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C/E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P/S 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S/O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D   </w:t>
            </w:r>
            <w:r>
              <w:rPr>
                <w:rFonts w:cstheme="minorHAnsi"/>
                <w:sz w:val="20"/>
                <w:szCs w:val="20"/>
              </w:rPr>
              <w:sym w:font="Wingdings" w:char="F0A8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</w:tcPr>
          <w:p w:rsidR="003400A3" w:rsidRDefault="003400A3" w:rsidP="00F30B7B">
            <w:pPr>
              <w:rPr>
                <w:b/>
                <w:sz w:val="28"/>
                <w:szCs w:val="28"/>
              </w:rPr>
            </w:pPr>
          </w:p>
        </w:tc>
      </w:tr>
    </w:tbl>
    <w:p w:rsidR="003400A3" w:rsidRPr="0020224A" w:rsidRDefault="003400A3" w:rsidP="003400A3">
      <w:pPr>
        <w:spacing w:after="0"/>
        <w:rPr>
          <w:b/>
          <w:sz w:val="20"/>
          <w:szCs w:val="20"/>
        </w:rPr>
      </w:pPr>
      <w:r w:rsidRPr="0020224A">
        <w:rPr>
          <w:b/>
          <w:sz w:val="20"/>
          <w:szCs w:val="20"/>
        </w:rPr>
        <w:t>A= Argument     E= Explanatory / Informational     N= Narrative     R= Research</w:t>
      </w:r>
    </w:p>
    <w:p w:rsidR="003400A3" w:rsidRDefault="003400A3" w:rsidP="003F32E9">
      <w:pPr>
        <w:spacing w:after="0"/>
      </w:pPr>
      <w:r w:rsidRPr="007877FA">
        <w:rPr>
          <w:b/>
          <w:sz w:val="20"/>
          <w:szCs w:val="20"/>
        </w:rPr>
        <w:t>Structure</w:t>
      </w:r>
      <w:r w:rsidRPr="0020224A">
        <w:rPr>
          <w:b/>
          <w:sz w:val="20"/>
          <w:szCs w:val="20"/>
        </w:rPr>
        <w:t>:  C/C = Compare and Contrast    C/E = Cause and Effect    P/S = Problem/Solution   S/O = Sequence/Order   D = Description</w:t>
      </w:r>
      <w:r>
        <w:rPr>
          <w:b/>
          <w:sz w:val="20"/>
          <w:szCs w:val="20"/>
        </w:rPr>
        <w:t xml:space="preserve">   N = Narrative </w:t>
      </w:r>
    </w:p>
    <w:sectPr w:rsidR="003400A3" w:rsidSect="003400A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2D3"/>
    <w:multiLevelType w:val="hybridMultilevel"/>
    <w:tmpl w:val="67BA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8423E"/>
    <w:multiLevelType w:val="hybridMultilevel"/>
    <w:tmpl w:val="2A2E9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D50B1"/>
    <w:multiLevelType w:val="hybridMultilevel"/>
    <w:tmpl w:val="B8E0E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AA7A62"/>
    <w:multiLevelType w:val="hybridMultilevel"/>
    <w:tmpl w:val="9CBEC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F0070"/>
    <w:multiLevelType w:val="hybridMultilevel"/>
    <w:tmpl w:val="087274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C83C65"/>
    <w:multiLevelType w:val="hybridMultilevel"/>
    <w:tmpl w:val="7C5E9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82AF2"/>
    <w:multiLevelType w:val="hybridMultilevel"/>
    <w:tmpl w:val="88A247D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B872FD"/>
    <w:multiLevelType w:val="hybridMultilevel"/>
    <w:tmpl w:val="4160840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06394A"/>
    <w:multiLevelType w:val="hybridMultilevel"/>
    <w:tmpl w:val="153E2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441692"/>
    <w:multiLevelType w:val="hybridMultilevel"/>
    <w:tmpl w:val="23D2A32E"/>
    <w:lvl w:ilvl="0" w:tplc="88BC30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3"/>
    <w:rsid w:val="00042B1F"/>
    <w:rsid w:val="000E5408"/>
    <w:rsid w:val="0025710F"/>
    <w:rsid w:val="003400A3"/>
    <w:rsid w:val="003F32E9"/>
    <w:rsid w:val="004F58AF"/>
    <w:rsid w:val="006616C6"/>
    <w:rsid w:val="00727A33"/>
    <w:rsid w:val="008B461C"/>
    <w:rsid w:val="009372A9"/>
    <w:rsid w:val="00A52260"/>
    <w:rsid w:val="00D34D5D"/>
    <w:rsid w:val="00F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0A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0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0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8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A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0A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0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0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58A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ps.edu/community/tofu/lev2/journaling/writemath.htm" TargetMode="External"/><Relationship Id="rId13" Type="http://schemas.openxmlformats.org/officeDocument/2006/relationships/hyperlink" Target="https://www.teachingchannel.org/videos/writing-to-lear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e.k12.de.us/Page/1990" TargetMode="External"/><Relationship Id="rId12" Type="http://schemas.openxmlformats.org/officeDocument/2006/relationships/hyperlink" Target="http://www.ode.state.or.us/search/page/?id=39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readingrockets.org/article/integrating-writing-and-mathemat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0B8uSuej0eWLcU2hhQk96WWVQMDA/view" TargetMode="External"/><Relationship Id="rId10" Type="http://schemas.openxmlformats.org/officeDocument/2006/relationships/hyperlink" Target="http://www.doe.k12.de.us/Page/5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k12.de.us/Page/1989" TargetMode="External"/><Relationship Id="rId14" Type="http://schemas.openxmlformats.org/officeDocument/2006/relationships/hyperlink" Target="http://www.ascd.org/publications/books/108035/chapters/Procedures-for-Classroom-Tal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Dave Christensen</cp:lastModifiedBy>
  <cp:revision>2</cp:revision>
  <dcterms:created xsi:type="dcterms:W3CDTF">2017-04-25T01:27:00Z</dcterms:created>
  <dcterms:modified xsi:type="dcterms:W3CDTF">2017-04-25T01:27:00Z</dcterms:modified>
</cp:coreProperties>
</file>