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4A" w:rsidRDefault="00173A4A" w:rsidP="00173A4A">
      <w:pPr>
        <w:spacing w:after="0" w:line="320" w:lineRule="atLeast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24"/>
          <w:szCs w:val="24"/>
        </w:rPr>
      </w:pPr>
      <w:hyperlink r:id="rId4" w:history="1">
        <w:r w:rsidRPr="009614A0">
          <w:rPr>
            <w:rStyle w:val="Hyperlink"/>
            <w:rFonts w:ascii="Arial" w:eastAsia="Times New Roman" w:hAnsi="Arial" w:cs="Arial"/>
            <w:b/>
            <w:bCs/>
            <w:kern w:val="36"/>
            <w:sz w:val="24"/>
            <w:szCs w:val="24"/>
          </w:rPr>
          <w:t>http://ngss.nsta.org/commonly-used-abbreviations.aspx</w:t>
        </w:r>
      </w:hyperlink>
    </w:p>
    <w:p w:rsidR="00173A4A" w:rsidRPr="00173A4A" w:rsidRDefault="00173A4A" w:rsidP="00173A4A">
      <w:pPr>
        <w:spacing w:after="0" w:line="320" w:lineRule="atLeast"/>
        <w:textAlignment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24"/>
          <w:szCs w:val="24"/>
        </w:rPr>
      </w:pPr>
    </w:p>
    <w:p w:rsidR="00173A4A" w:rsidRPr="00173A4A" w:rsidRDefault="00173A4A" w:rsidP="00173A4A">
      <w:pPr>
        <w:spacing w:after="0" w:line="320" w:lineRule="atLeast"/>
        <w:textAlignment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52"/>
          <w:szCs w:val="52"/>
        </w:rPr>
      </w:pPr>
      <w:r w:rsidRPr="00173A4A">
        <w:rPr>
          <w:rFonts w:ascii="Arial" w:eastAsia="Times New Roman" w:hAnsi="Arial" w:cs="Arial"/>
          <w:b/>
          <w:bCs/>
          <w:color w:val="3D3D3D"/>
          <w:kern w:val="36"/>
          <w:sz w:val="52"/>
          <w:szCs w:val="52"/>
        </w:rPr>
        <w:t>Commonly Used Abbreviations</w:t>
      </w:r>
    </w:p>
    <w:p w:rsidR="00173A4A" w:rsidRPr="00173A4A" w:rsidRDefault="00173A4A" w:rsidP="00173A4A">
      <w:pPr>
        <w:spacing w:after="24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color w:val="262626"/>
          <w:sz w:val="20"/>
          <w:szCs w:val="20"/>
        </w:rPr>
        <w:t>Many abbreviations and policy terms are used throughout the </w:t>
      </w:r>
      <w:r w:rsidRPr="00173A4A">
        <w:rPr>
          <w:rFonts w:ascii="Arial" w:eastAsia="Times New Roman" w:hAnsi="Arial" w:cs="Arial"/>
          <w:i/>
          <w:iCs/>
          <w:color w:val="262626"/>
          <w:sz w:val="20"/>
          <w:szCs w:val="20"/>
        </w:rPr>
        <w:t>NGSS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and supporting materials. Below are descriptions of these terms: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A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AAAS: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American Association for the Advancement of Science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AYP: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Annual Yearly Progress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B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BF: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Building Functions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C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CC: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Counting &amp; Cardinality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CED: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Creating Equations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CR: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Chemical Reactions (Topic Name)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CCR: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College and Career Ready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CCSS: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Common Core State Standards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CCC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Crosscutting Concept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D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DCI: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Disciplinary Core Idea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E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ELL: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English Language Learner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E: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Energy (Topic Name)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EE: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Expressions &amp; Equations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ELA: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English Language Arts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ED: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Engineering Design (Topic Name)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ES: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Earth’s Systems (Topic Name)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ESEA: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Elementary and Secondary Education Act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ESS: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Earth and Space Science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ETS: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Engineering, Technology, and Applications of Science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lastRenderedPageBreak/>
        <w:t>F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F: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Functions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FI: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Forces and Interactions (Topic Name)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FB: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Foundation Box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G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G: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Geometry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GBE: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Grade Band Endpoint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GDRO: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Growth, Development, and Reproduction of Organisms (Topic Name)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H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HI: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Human Impacts (Topic Name)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HS: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High School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I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ID: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Interpret Data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IDEA: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Individuals with Disabilities Education Act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IEP: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Individualized Education Program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IF: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Interpreting Functions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IRE: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Interdependent Relationships in Ecosystems (Topic Name)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IVT: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Inheritance and Variation of Traits (Topic Name)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K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K: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Kindergarten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L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LEP: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Limited English Proficiency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LS: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Life Science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M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MD: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Measurement &amp; Data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MEOE: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Matter and Energy in Organisms and Ecosystems (Topic Name)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MS: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Middle School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bookmarkStart w:id="0" w:name="_GoBack"/>
      <w:bookmarkEnd w:id="0"/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lastRenderedPageBreak/>
        <w:t>N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NAEP: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National Assessment of Educational Progress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NAGC: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National Association for Gifted Children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NBT: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Number &amp; Operations in Base Ten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NCLB: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No Child Left Behind Act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NF: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Number &amp; Operations— Fractions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NGSS: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Next Generation Science Standards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NOS: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Nature of Science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NSTA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: National Science Teachers Association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NRC: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National Research Council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NS: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The Number System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NSA: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Natural Selection and Adaptations (Topic Name)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NSE: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Natural Selection and Evolution (Topic Name)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NSF: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National Science Foundation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O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OA: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Operations &amp; Algebraic Thinking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P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PE: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Performance Expectation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PISA: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Program for International Student Assessment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PS: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Physical Sciences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Q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Q: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Quantities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R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RI: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Reading Informational Text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RL: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Reading Literature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RP: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Ratios and Proportional Relationships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RST: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Reading in Science &amp; Technical Subjects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S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SEP: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Science and Engineering Practices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SF: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Structure and Function (Topic Name)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SFIP: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Structure, Function, and Information Processing (Topic Name)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SL: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Speaking &amp; Listening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lastRenderedPageBreak/>
        <w:t>SP: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Statistics &amp; Probability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SPM: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Structures and Properties of Matter (Topic Name)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SS: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Space Systems (Topic Name)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SSE: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Seeing Structure in Expressions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STEM: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Science, Technology, Engineering, and Mathematics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STS: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Science, Technology, and Society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T</w:t>
      </w:r>
    </w:p>
    <w:p w:rsidR="00173A4A" w:rsidRPr="00173A4A" w:rsidRDefault="00173A4A" w:rsidP="00173A4A">
      <w:pPr>
        <w:spacing w:after="0"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TELA: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Technology and Engineering Literacy Assessment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TIMSS: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Trends in International Mathematics and Science Study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</w:p>
    <w:p w:rsidR="00173A4A" w:rsidRPr="00173A4A" w:rsidRDefault="00173A4A" w:rsidP="00173A4A">
      <w:pPr>
        <w:spacing w:after="60" w:line="240" w:lineRule="auto"/>
        <w:outlineLvl w:val="2"/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</w:pPr>
      <w:r w:rsidRPr="00173A4A">
        <w:rPr>
          <w:rFonts w:ascii="Helvetica" w:eastAsia="Times New Roman" w:hAnsi="Helvetica" w:cs="Helvetica"/>
          <w:b/>
          <w:bCs/>
          <w:color w:val="CA9D2D"/>
          <w:sz w:val="27"/>
          <w:szCs w:val="27"/>
        </w:rPr>
        <w:t>W</w:t>
      </w:r>
    </w:p>
    <w:p w:rsidR="00173A4A" w:rsidRPr="00173A4A" w:rsidRDefault="00173A4A" w:rsidP="00173A4A">
      <w:pPr>
        <w:spacing w:line="293" w:lineRule="atLeast"/>
        <w:rPr>
          <w:rFonts w:ascii="Arial" w:eastAsia="Times New Roman" w:hAnsi="Arial" w:cs="Arial"/>
          <w:color w:val="262626"/>
          <w:sz w:val="20"/>
          <w:szCs w:val="20"/>
        </w:rPr>
      </w:pP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W: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Waves (Topic Name) </w:t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W: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Writing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WHST: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Writing in History/Social Studies, Science, &amp; Technical Subjects (CCSS Connection)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WC: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Weather and Climate (Topic Name) 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br/>
      </w:r>
      <w:r w:rsidRPr="00173A4A">
        <w:rPr>
          <w:rFonts w:ascii="Arial" w:eastAsia="Times New Roman" w:hAnsi="Arial" w:cs="Arial"/>
          <w:b/>
          <w:bCs/>
          <w:color w:val="262626"/>
          <w:sz w:val="20"/>
          <w:szCs w:val="20"/>
        </w:rPr>
        <w:t>WER:</w:t>
      </w:r>
      <w:r w:rsidRPr="00173A4A">
        <w:rPr>
          <w:rFonts w:ascii="Arial" w:eastAsia="Times New Roman" w:hAnsi="Arial" w:cs="Arial"/>
          <w:color w:val="262626"/>
          <w:sz w:val="20"/>
          <w:szCs w:val="20"/>
        </w:rPr>
        <w:t> Waves and Electromagnetic Radiation (Topic Name) </w:t>
      </w:r>
    </w:p>
    <w:p w:rsidR="005A06BA" w:rsidRDefault="005A06BA"/>
    <w:sectPr w:rsidR="005A0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4A"/>
    <w:rsid w:val="00173A4A"/>
    <w:rsid w:val="005A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80C9"/>
  <w15:chartTrackingRefBased/>
  <w15:docId w15:val="{8AE0863D-B380-4E5D-BC06-D2EFF1CA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3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73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A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73A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3A4A"/>
  </w:style>
  <w:style w:type="character" w:styleId="Hyperlink">
    <w:name w:val="Hyperlink"/>
    <w:basedOn w:val="DefaultParagraphFont"/>
    <w:uiPriority w:val="99"/>
    <w:unhideWhenUsed/>
    <w:rsid w:val="00173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6448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5081">
          <w:marLeft w:val="0"/>
          <w:marRight w:val="0"/>
          <w:marTop w:val="528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gss.nsta.org/commonly-used-abbrevi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Morgan</dc:creator>
  <cp:keywords/>
  <dc:description/>
  <cp:lastModifiedBy>Jamie Morgan</cp:lastModifiedBy>
  <cp:revision>1</cp:revision>
  <dcterms:created xsi:type="dcterms:W3CDTF">2016-04-27T16:59:00Z</dcterms:created>
  <dcterms:modified xsi:type="dcterms:W3CDTF">2016-04-27T17:00:00Z</dcterms:modified>
</cp:coreProperties>
</file>