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80" w:type="dxa"/>
        <w:tblInd w:w="18" w:type="dxa"/>
        <w:tblLayout w:type="fixed"/>
        <w:tblLook w:val="04A0" w:firstRow="1" w:lastRow="0" w:firstColumn="1" w:lastColumn="0" w:noHBand="0" w:noVBand="1"/>
      </w:tblPr>
      <w:tblGrid>
        <w:gridCol w:w="2070"/>
        <w:gridCol w:w="2502"/>
        <w:gridCol w:w="2502"/>
        <w:gridCol w:w="2502"/>
        <w:gridCol w:w="2502"/>
        <w:gridCol w:w="2502"/>
      </w:tblGrid>
      <w:tr w:rsidR="00AE014E" w:rsidRPr="004C6C21" w:rsidTr="008621E4">
        <w:tc>
          <w:tcPr>
            <w:tcW w:w="2070" w:type="dxa"/>
            <w:shd w:val="clear" w:color="auto" w:fill="D9D9D9" w:themeFill="background1" w:themeFillShade="D9"/>
            <w:vAlign w:val="center"/>
          </w:tcPr>
          <w:p w:rsidR="00AE014E" w:rsidRPr="00D4387A" w:rsidRDefault="00AE014E" w:rsidP="00995BBF">
            <w:pPr>
              <w:rPr>
                <w:b/>
              </w:rPr>
            </w:pPr>
            <w:bookmarkStart w:id="0" w:name="_GoBack"/>
            <w:bookmarkEnd w:id="0"/>
            <w:r>
              <w:rPr>
                <w:b/>
              </w:rPr>
              <w:t>Purpose of Planning</w:t>
            </w:r>
          </w:p>
        </w:tc>
        <w:tc>
          <w:tcPr>
            <w:tcW w:w="2502" w:type="dxa"/>
            <w:shd w:val="clear" w:color="auto" w:fill="D9D9D9" w:themeFill="background1" w:themeFillShade="D9"/>
            <w:vAlign w:val="center"/>
          </w:tcPr>
          <w:p w:rsidR="00AE014E" w:rsidRPr="00DA04C8" w:rsidRDefault="00AE014E" w:rsidP="00CC00ED">
            <w:pPr>
              <w:jc w:val="center"/>
              <w:rPr>
                <w:rStyle w:val="Hyperlink"/>
                <w:b/>
              </w:rPr>
            </w:pPr>
            <w:r>
              <w:rPr>
                <w:b/>
              </w:rPr>
              <w:fldChar w:fldCharType="begin"/>
            </w:r>
            <w:r>
              <w:rPr>
                <w:b/>
              </w:rPr>
              <w:instrText xml:space="preserve"> HYPERLINK  \l "Treasure" </w:instrText>
            </w:r>
            <w:r>
              <w:rPr>
                <w:b/>
              </w:rPr>
              <w:fldChar w:fldCharType="separate"/>
            </w:r>
            <w:r w:rsidRPr="00DA04C8">
              <w:rPr>
                <w:rStyle w:val="Hyperlink"/>
                <w:b/>
              </w:rPr>
              <w:t>Unit One</w:t>
            </w:r>
          </w:p>
          <w:p w:rsidR="00AE014E" w:rsidRPr="00FE21A6" w:rsidRDefault="00AE014E" w:rsidP="00CC00ED">
            <w:pPr>
              <w:jc w:val="center"/>
              <w:rPr>
                <w:sz w:val="20"/>
                <w:szCs w:val="20"/>
              </w:rPr>
            </w:pPr>
            <w:r>
              <w:rPr>
                <w:b/>
              </w:rPr>
              <w:fldChar w:fldCharType="end"/>
            </w:r>
            <w:r w:rsidRPr="00FE21A6">
              <w:rPr>
                <w:sz w:val="20"/>
                <w:szCs w:val="20"/>
              </w:rPr>
              <w:t>(pg. 2)</w:t>
            </w:r>
          </w:p>
        </w:tc>
        <w:tc>
          <w:tcPr>
            <w:tcW w:w="2502" w:type="dxa"/>
            <w:shd w:val="clear" w:color="auto" w:fill="D9D9D9" w:themeFill="background1" w:themeFillShade="D9"/>
            <w:vAlign w:val="center"/>
          </w:tcPr>
          <w:p w:rsidR="00AE014E" w:rsidRDefault="00E0426A" w:rsidP="00CC00ED">
            <w:pPr>
              <w:jc w:val="center"/>
              <w:rPr>
                <w:b/>
              </w:rPr>
            </w:pPr>
            <w:r w:rsidRPr="00DA04C8">
              <w:rPr>
                <w:rStyle w:val="Hyperlink"/>
                <w:noProof/>
              </w:rPr>
              <mc:AlternateContent>
                <mc:Choice Requires="wps">
                  <w:drawing>
                    <wp:anchor distT="0" distB="0" distL="114300" distR="114300" simplePos="0" relativeHeight="251663360" behindDoc="0" locked="0" layoutInCell="1" allowOverlap="1" wp14:anchorId="7AD7A961" wp14:editId="3E89E560">
                      <wp:simplePos x="0" y="0"/>
                      <wp:positionH relativeFrom="column">
                        <wp:posOffset>1318895</wp:posOffset>
                      </wp:positionH>
                      <wp:positionV relativeFrom="paragraph">
                        <wp:posOffset>-802640</wp:posOffset>
                      </wp:positionV>
                      <wp:extent cx="495300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014E" w:rsidRDefault="00AE014E" w:rsidP="003B74C0">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 xml:space="preserve">English Language Arts/Literacy </w:t>
                                  </w:r>
                                </w:p>
                                <w:p w:rsidR="00AE014E" w:rsidRPr="00CC3FE4" w:rsidRDefault="00AE014E" w:rsidP="003B74C0">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Grade 2 Year-at-a-</w:t>
                                  </w:r>
                                  <w:r w:rsidRPr="00B3224C">
                                    <w:rPr>
                                      <w:rFonts w:cs="Cambria"/>
                                      <w:b/>
                                      <w:color w:val="000000" w:themeColor="text1"/>
                                      <w:sz w:val="32"/>
                                      <w:szCs w:val="32"/>
                                    </w:rPr>
                                    <w:t>Glance</w:t>
                                  </w:r>
                                  <w:r>
                                    <w:rPr>
                                      <w:rFonts w:cs="Cambria"/>
                                      <w:b/>
                                      <w:color w:val="000000" w:themeColor="text1"/>
                                      <w:sz w:val="32"/>
                                      <w:szCs w:val="32"/>
                                    </w:rPr>
                                    <w:t xml:space="preserve"> (SAMPLE)</w:t>
                                  </w:r>
                                </w:p>
                                <w:p w:rsidR="00AE014E" w:rsidRPr="00DB0209" w:rsidRDefault="00AE014E" w:rsidP="00DB0209">
                                  <w:pPr>
                                    <w:spacing w:after="0" w:line="240" w:lineRule="auto"/>
                                    <w:jc w:val="right"/>
                                    <w:rPr>
                                      <w:b/>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85pt;margin-top:-63.2pt;width:390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GgiQIAAIoFAAAOAAAAZHJzL2Uyb0RvYy54bWysVEtPGzEQvlfqf7B8L7sJAUrEBqVBVJUQ&#10;oIaKs+O1E6u2x7Wd7Ka/nrF38yjlQtXL7tjzzYznm8fVdWs02QgfFNiKDk5KSoTlUCu7rOiPp9tP&#10;nykJkdmaabCiolsR6PXk44erxo3FEFaga+EJOrFh3LiKrmJ046IIfCUMCyfghEWlBG9YxKNfFrVn&#10;DXo3uhiW5XnRgK+dBy5CwNubTkkn2b+UgscHKYOIRFcU3xbz1+fvIn2LyRUbLz1zK8X7Z7B/eIVh&#10;ymLQvasbFhlZe/WXK6O4hwAynnAwBUipuMg5YDaD8lU28xVzIueC5AS3pyn8P7f8fvPoiaorOqTE&#10;MoMlehJtJF+gJcPETuPCGEFzh7DY4jVWeXcf8DIl3Upv0h/TIahHnrd7bpMzjpejy7PTskQVR935&#10;6OICZXRfHKydD/GrAEOSUFGPtcuUss1diB10B0nBAmhV3yqt8yH1i5hpTzYMK61jfiM6/wOlLWkw&#10;+OlZmR1bSOadZ22TG5E7pg+XMu8yzFLcapEw2n4XEhnLib4Rm3Eu7D5+RieUxFDvMezxh1e9x7jL&#10;Ay1yZLBxb2yUBZ+zzyN2oKz+uaNMdniszVHeSYztou07YgH1FhvCQzdQwfFbhVW7YyE+Mo8ThIXG&#10;rRAf8CM1IOvQS5SswP9+6z7hsbFRS0mDE1nR8GvNvKBEf7PY8peD0SiNcD6Mzi6GePDHmsWxxq7N&#10;DLAVBrh/HM9iwke9E6UH84zLY5qioopZjrErutiJs9jtCVw+XEynGYRD61i8s3PHk+tEb+rJp/aZ&#10;edc3bsSWv4fd7LLxq/7tsMnSwnQdQarc3IngjtWeeBz4PB79ckob5ficUYcVOnkBAAD//wMAUEsD&#10;BBQABgAIAAAAIQBL3Ya13wAAAAwBAAAPAAAAZHJzL2Rvd25yZXYueG1sTI/LboMwEEX3lfoP1lTq&#10;LjFBJKQUE0XpY1s15QMcPAVaPEbYENqv72TVLOfO0Z0z+W62nZhw8K0jBatlBAKpcqalWkH58bLY&#10;gvBBk9GdI1Twgx52xe1NrjPjzvSO0zHUgkvIZ1pBE0KfSemrBq32S9cj8e7TDVYHHodamkGfudx2&#10;Mo6ijbS6Jb7Q6B4PDVbfx9EqGEcqnw/TPpiU1usyef19+wpPSt3fzftHEAHn8A/DRZ/VoWCnkxvJ&#10;eNEpiKM0ZVTBYhVvEhCMPGwv0YmjOElAFrm8fqL4AwAA//8DAFBLAQItABQABgAIAAAAIQC2gziS&#10;/gAAAOEBAAATAAAAAAAAAAAAAAAAAAAAAABbQ29udGVudF9UeXBlc10ueG1sUEsBAi0AFAAGAAgA&#10;AAAhADj9If/WAAAAlAEAAAsAAAAAAAAAAAAAAAAALwEAAF9yZWxzLy5yZWxzUEsBAi0AFAAGAAgA&#10;AAAhAPqJUaCJAgAAigUAAA4AAAAAAAAAAAAAAAAALgIAAGRycy9lMm9Eb2MueG1sUEsBAi0AFAAG&#10;AAgAAAAhAEvdhrXfAAAADAEAAA8AAAAAAAAAAAAAAAAA4wQAAGRycy9kb3ducmV2LnhtbFBLBQYA&#10;AAAABAAEAPMAAADvBQAAAAA=&#10;" fillcolor="white [3201]" stroked="f" strokeweight=".5pt">
                      <v:textbox>
                        <w:txbxContent>
                          <w:p w:rsidR="00AE014E" w:rsidRDefault="00AE014E" w:rsidP="003B74C0">
                            <w:pPr>
                              <w:autoSpaceDE w:val="0"/>
                              <w:autoSpaceDN w:val="0"/>
                              <w:adjustRightInd w:val="0"/>
                              <w:spacing w:after="0" w:line="240" w:lineRule="auto"/>
                              <w:ind w:left="-187"/>
                              <w:jc w:val="right"/>
                              <w:rPr>
                                <w:rFonts w:cs="Cambria"/>
                                <w:b/>
                                <w:color w:val="000000" w:themeColor="text1"/>
                                <w:sz w:val="32"/>
                                <w:szCs w:val="32"/>
                              </w:rPr>
                            </w:pPr>
                            <w:bookmarkStart w:id="1" w:name="_GoBack"/>
                            <w:r>
                              <w:rPr>
                                <w:rFonts w:cs="Cambria"/>
                                <w:b/>
                                <w:color w:val="000000" w:themeColor="text1"/>
                                <w:sz w:val="32"/>
                                <w:szCs w:val="32"/>
                              </w:rPr>
                              <w:t xml:space="preserve">English Language Arts/Literacy </w:t>
                            </w:r>
                          </w:p>
                          <w:p w:rsidR="00AE014E" w:rsidRPr="00CC3FE4" w:rsidRDefault="00AE014E" w:rsidP="003B74C0">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Grade 2 Year-at-a-</w:t>
                            </w:r>
                            <w:r w:rsidRPr="00B3224C">
                              <w:rPr>
                                <w:rFonts w:cs="Cambria"/>
                                <w:b/>
                                <w:color w:val="000000" w:themeColor="text1"/>
                                <w:sz w:val="32"/>
                                <w:szCs w:val="32"/>
                              </w:rPr>
                              <w:t>Glance</w:t>
                            </w:r>
                            <w:r>
                              <w:rPr>
                                <w:rFonts w:cs="Cambria"/>
                                <w:b/>
                                <w:color w:val="000000" w:themeColor="text1"/>
                                <w:sz w:val="32"/>
                                <w:szCs w:val="32"/>
                              </w:rPr>
                              <w:t xml:space="preserve"> (SAMPLE)</w:t>
                            </w:r>
                          </w:p>
                          <w:bookmarkEnd w:id="1"/>
                          <w:p w:rsidR="00AE014E" w:rsidRPr="00DB0209" w:rsidRDefault="00AE014E" w:rsidP="00DB0209">
                            <w:pPr>
                              <w:spacing w:after="0" w:line="240" w:lineRule="auto"/>
                              <w:jc w:val="right"/>
                              <w:rPr>
                                <w:b/>
                                <w:sz w:val="28"/>
                                <w:szCs w:val="28"/>
                              </w:rPr>
                            </w:pPr>
                          </w:p>
                        </w:txbxContent>
                      </v:textbox>
                    </v:shape>
                  </w:pict>
                </mc:Fallback>
              </mc:AlternateContent>
            </w:r>
            <w:hyperlink w:anchor="Heroes" w:history="1">
              <w:r w:rsidR="00AE014E" w:rsidRPr="00DA04C8">
                <w:rPr>
                  <w:rStyle w:val="Hyperlink"/>
                  <w:b/>
                </w:rPr>
                <w:t>Unit Two</w:t>
              </w:r>
            </w:hyperlink>
          </w:p>
          <w:p w:rsidR="00AE014E" w:rsidRPr="00FE21A6" w:rsidRDefault="00AE014E" w:rsidP="00CC00ED">
            <w:pPr>
              <w:jc w:val="center"/>
              <w:rPr>
                <w:sz w:val="20"/>
                <w:szCs w:val="20"/>
              </w:rPr>
            </w:pPr>
            <w:r w:rsidRPr="00FE21A6">
              <w:rPr>
                <w:sz w:val="20"/>
                <w:szCs w:val="20"/>
              </w:rPr>
              <w:t>(pg. 3)</w:t>
            </w:r>
          </w:p>
        </w:tc>
        <w:tc>
          <w:tcPr>
            <w:tcW w:w="2502" w:type="dxa"/>
            <w:shd w:val="clear" w:color="auto" w:fill="D9D9D9" w:themeFill="background1" w:themeFillShade="D9"/>
            <w:vAlign w:val="center"/>
          </w:tcPr>
          <w:p w:rsidR="00AE014E" w:rsidRDefault="006876B5" w:rsidP="00CC00ED">
            <w:pPr>
              <w:jc w:val="center"/>
              <w:rPr>
                <w:b/>
              </w:rPr>
            </w:pPr>
            <w:hyperlink w:anchor="Cinderella" w:history="1">
              <w:r w:rsidR="00AE014E" w:rsidRPr="00BA022F">
                <w:rPr>
                  <w:rStyle w:val="Hyperlink"/>
                  <w:b/>
                </w:rPr>
                <w:t>Unit Three</w:t>
              </w:r>
            </w:hyperlink>
          </w:p>
          <w:p w:rsidR="00AE014E" w:rsidRPr="00FE21A6" w:rsidRDefault="00AE014E" w:rsidP="00CC00ED">
            <w:pPr>
              <w:jc w:val="center"/>
              <w:rPr>
                <w:sz w:val="20"/>
                <w:szCs w:val="20"/>
              </w:rPr>
            </w:pPr>
            <w:r w:rsidRPr="00FE21A6">
              <w:rPr>
                <w:sz w:val="20"/>
                <w:szCs w:val="20"/>
              </w:rPr>
              <w:t>(pg. 4)</w:t>
            </w:r>
          </w:p>
        </w:tc>
        <w:tc>
          <w:tcPr>
            <w:tcW w:w="2502" w:type="dxa"/>
            <w:shd w:val="clear" w:color="auto" w:fill="D9D9D9" w:themeFill="background1" w:themeFillShade="D9"/>
            <w:vAlign w:val="center"/>
          </w:tcPr>
          <w:p w:rsidR="00AE014E" w:rsidRDefault="006876B5" w:rsidP="00CC00ED">
            <w:pPr>
              <w:jc w:val="center"/>
              <w:rPr>
                <w:b/>
              </w:rPr>
            </w:pPr>
            <w:hyperlink w:anchor="Water" w:history="1">
              <w:r w:rsidR="00AE014E" w:rsidRPr="00BA022F">
                <w:rPr>
                  <w:rStyle w:val="Hyperlink"/>
                  <w:b/>
                </w:rPr>
                <w:t>Unit Four</w:t>
              </w:r>
            </w:hyperlink>
          </w:p>
          <w:p w:rsidR="00AE014E" w:rsidRPr="00FE21A6" w:rsidRDefault="00AE014E" w:rsidP="00CC00ED">
            <w:pPr>
              <w:jc w:val="center"/>
              <w:rPr>
                <w:sz w:val="20"/>
                <w:szCs w:val="20"/>
              </w:rPr>
            </w:pPr>
            <w:r w:rsidRPr="00FE21A6">
              <w:rPr>
                <w:sz w:val="20"/>
                <w:szCs w:val="20"/>
              </w:rPr>
              <w:t>(pg. 5)</w:t>
            </w:r>
          </w:p>
        </w:tc>
        <w:tc>
          <w:tcPr>
            <w:tcW w:w="2502" w:type="dxa"/>
            <w:shd w:val="clear" w:color="auto" w:fill="D9D9D9" w:themeFill="background1" w:themeFillShade="D9"/>
            <w:vAlign w:val="center"/>
          </w:tcPr>
          <w:p w:rsidR="00AE014E" w:rsidRDefault="006876B5" w:rsidP="00CC00ED">
            <w:pPr>
              <w:jc w:val="center"/>
              <w:rPr>
                <w:b/>
              </w:rPr>
            </w:pPr>
            <w:hyperlink w:anchor="OxCartMan" w:history="1">
              <w:r w:rsidR="00AE014E" w:rsidRPr="00DA04C8">
                <w:rPr>
                  <w:rStyle w:val="Hyperlink"/>
                  <w:b/>
                </w:rPr>
                <w:t>Unit Five</w:t>
              </w:r>
            </w:hyperlink>
          </w:p>
          <w:p w:rsidR="00AE014E" w:rsidRPr="00DA04C8" w:rsidRDefault="00AE014E" w:rsidP="00CC00ED">
            <w:pPr>
              <w:jc w:val="center"/>
              <w:rPr>
                <w:sz w:val="20"/>
                <w:szCs w:val="20"/>
              </w:rPr>
            </w:pPr>
            <w:r w:rsidRPr="00DA04C8">
              <w:rPr>
                <w:sz w:val="20"/>
                <w:szCs w:val="20"/>
              </w:rPr>
              <w:t>(pg. 6)</w:t>
            </w:r>
          </w:p>
        </w:tc>
      </w:tr>
      <w:tr w:rsidR="00AE014E" w:rsidRPr="00CF0314" w:rsidTr="00226B4A">
        <w:trPr>
          <w:trHeight w:val="735"/>
        </w:trPr>
        <w:tc>
          <w:tcPr>
            <w:tcW w:w="2070" w:type="dxa"/>
            <w:vMerge w:val="restart"/>
          </w:tcPr>
          <w:p w:rsidR="00AE014E" w:rsidRPr="005A217C" w:rsidRDefault="00AE014E" w:rsidP="00995BBF">
            <w:pPr>
              <w:rPr>
                <w:b/>
                <w:sz w:val="20"/>
                <w:szCs w:val="20"/>
              </w:rPr>
            </w:pPr>
            <w:r w:rsidRPr="005A217C">
              <w:rPr>
                <w:b/>
                <w:sz w:val="20"/>
                <w:szCs w:val="20"/>
              </w:rPr>
              <w:t>Build</w:t>
            </w:r>
            <w:r>
              <w:rPr>
                <w:b/>
                <w:sz w:val="20"/>
                <w:szCs w:val="20"/>
              </w:rPr>
              <w:t xml:space="preserve"> students’ k</w:t>
            </w:r>
            <w:r w:rsidRPr="005A217C">
              <w:rPr>
                <w:b/>
                <w:sz w:val="20"/>
                <w:szCs w:val="20"/>
              </w:rPr>
              <w:t>nowledge:</w:t>
            </w:r>
          </w:p>
          <w:p w:rsidR="00AE014E" w:rsidRPr="005A217C" w:rsidRDefault="00AE014E" w:rsidP="00995BBF">
            <w:pPr>
              <w:rPr>
                <w:sz w:val="20"/>
                <w:szCs w:val="20"/>
              </w:rPr>
            </w:pPr>
            <w:r w:rsidRPr="005A217C">
              <w:rPr>
                <w:sz w:val="20"/>
                <w:szCs w:val="20"/>
              </w:rPr>
              <w:t xml:space="preserve">Illustrate how knowledge builds </w:t>
            </w:r>
            <w:r>
              <w:rPr>
                <w:sz w:val="20"/>
                <w:szCs w:val="20"/>
              </w:rPr>
              <w:t xml:space="preserve">through texts </w:t>
            </w:r>
            <w:r w:rsidRPr="005A217C">
              <w:rPr>
                <w:sz w:val="20"/>
                <w:szCs w:val="20"/>
              </w:rPr>
              <w:t>within and across grades</w:t>
            </w:r>
          </w:p>
          <w:p w:rsidR="00AE014E" w:rsidRPr="005A217C" w:rsidRDefault="00AE014E" w:rsidP="00995BBF">
            <w:pPr>
              <w:rPr>
                <w:sz w:val="20"/>
                <w:szCs w:val="20"/>
              </w:rPr>
            </w:pPr>
          </w:p>
        </w:tc>
        <w:tc>
          <w:tcPr>
            <w:tcW w:w="2502" w:type="dxa"/>
          </w:tcPr>
          <w:p w:rsidR="00AE014E" w:rsidRPr="00981A65" w:rsidRDefault="00AE014E" w:rsidP="00CC00ED">
            <w:pPr>
              <w:rPr>
                <w:color w:val="000000" w:themeColor="text1"/>
                <w:sz w:val="20"/>
                <w:szCs w:val="20"/>
              </w:rPr>
            </w:pPr>
            <w:r w:rsidRPr="00981A65">
              <w:rPr>
                <w:i/>
                <w:sz w:val="20"/>
                <w:szCs w:val="20"/>
              </w:rPr>
              <w:t>The Treasure</w:t>
            </w:r>
            <w:r w:rsidRPr="00981A65">
              <w:rPr>
                <w:sz w:val="20"/>
                <w:szCs w:val="20"/>
              </w:rPr>
              <w:t>, Uri Shulevitz (Literary, Appendix B Exemplar)</w:t>
            </w:r>
          </w:p>
        </w:tc>
        <w:tc>
          <w:tcPr>
            <w:tcW w:w="2502" w:type="dxa"/>
          </w:tcPr>
          <w:p w:rsidR="00AE014E" w:rsidRPr="00C34D85" w:rsidRDefault="00AE014E" w:rsidP="00CC00ED">
            <w:pPr>
              <w:rPr>
                <w:color w:val="000000" w:themeColor="text1"/>
                <w:sz w:val="20"/>
                <w:szCs w:val="20"/>
              </w:rPr>
            </w:pPr>
            <w:r w:rsidRPr="00C34D85">
              <w:rPr>
                <w:i/>
                <w:sz w:val="20"/>
                <w:szCs w:val="20"/>
              </w:rPr>
              <w:t>50 American Heroes Every Kid Should Meet</w:t>
            </w:r>
            <w:r w:rsidRPr="00C34D85">
              <w:rPr>
                <w:sz w:val="20"/>
                <w:szCs w:val="20"/>
              </w:rPr>
              <w:t>, Dennis Denenberg (Informational)</w:t>
            </w:r>
          </w:p>
        </w:tc>
        <w:tc>
          <w:tcPr>
            <w:tcW w:w="2502" w:type="dxa"/>
          </w:tcPr>
          <w:p w:rsidR="00AE014E" w:rsidRPr="00C34D85" w:rsidRDefault="00AE014E" w:rsidP="00CC00ED">
            <w:pPr>
              <w:rPr>
                <w:color w:val="000000" w:themeColor="text1"/>
                <w:sz w:val="20"/>
                <w:szCs w:val="20"/>
              </w:rPr>
            </w:pPr>
            <w:r w:rsidRPr="00C34D85">
              <w:rPr>
                <w:i/>
                <w:color w:val="000000" w:themeColor="text1"/>
                <w:sz w:val="20"/>
                <w:szCs w:val="20"/>
              </w:rPr>
              <w:t>Cinderella</w:t>
            </w:r>
            <w:r w:rsidRPr="00C34D85">
              <w:rPr>
                <w:color w:val="000000" w:themeColor="text1"/>
                <w:sz w:val="20"/>
                <w:szCs w:val="20"/>
              </w:rPr>
              <w:t>, Marcia Brown</w:t>
            </w:r>
            <w:r w:rsidR="0086472D">
              <w:rPr>
                <w:color w:val="000000" w:themeColor="text1"/>
                <w:sz w:val="20"/>
                <w:szCs w:val="20"/>
              </w:rPr>
              <w:t xml:space="preserve"> or </w:t>
            </w:r>
            <w:hyperlink r:id="rId9" w:history="1">
              <w:r w:rsidR="0086472D" w:rsidRPr="0086472D">
                <w:rPr>
                  <w:rStyle w:val="Hyperlink"/>
                  <w:sz w:val="20"/>
                  <w:szCs w:val="20"/>
                </w:rPr>
                <w:t>online version</w:t>
              </w:r>
            </w:hyperlink>
            <w:r w:rsidRPr="00C34D85">
              <w:rPr>
                <w:color w:val="000000" w:themeColor="text1"/>
                <w:sz w:val="20"/>
                <w:szCs w:val="20"/>
              </w:rPr>
              <w:t xml:space="preserve"> (Literary)</w:t>
            </w:r>
          </w:p>
        </w:tc>
        <w:tc>
          <w:tcPr>
            <w:tcW w:w="2502" w:type="dxa"/>
          </w:tcPr>
          <w:p w:rsidR="00AE014E" w:rsidRPr="00C34D85" w:rsidRDefault="00AE014E" w:rsidP="00CC00ED">
            <w:pPr>
              <w:rPr>
                <w:sz w:val="20"/>
                <w:szCs w:val="20"/>
              </w:rPr>
            </w:pPr>
            <w:r w:rsidRPr="00C34D85">
              <w:rPr>
                <w:rFonts w:eastAsia="Gotham-Book" w:cs="Gotham-Book"/>
                <w:sz w:val="20"/>
                <w:szCs w:val="20"/>
              </w:rPr>
              <w:t>“</w:t>
            </w:r>
            <w:hyperlink r:id="rId10" w:history="1">
              <w:r w:rsidRPr="00C34D85">
                <w:rPr>
                  <w:rStyle w:val="Hyperlink"/>
                  <w:rFonts w:eastAsia="Gotham-Book" w:cs="Gotham-Book"/>
                  <w:sz w:val="20"/>
                  <w:szCs w:val="20"/>
                </w:rPr>
                <w:t>Thirsty Planet</w:t>
              </w:r>
            </w:hyperlink>
            <w:r w:rsidRPr="00C34D85">
              <w:rPr>
                <w:rFonts w:eastAsia="Gotham-Book" w:cs="Gotham-Book"/>
                <w:sz w:val="20"/>
                <w:szCs w:val="20"/>
              </w:rPr>
              <w:t xml:space="preserve">,” Beth Geiger, </w:t>
            </w:r>
            <w:r w:rsidRPr="00C34D85">
              <w:rPr>
                <w:i/>
                <w:sz w:val="20"/>
                <w:szCs w:val="20"/>
              </w:rPr>
              <w:t>National Geographic Explorer</w:t>
            </w:r>
            <w:r w:rsidRPr="00C34D85">
              <w:rPr>
                <w:sz w:val="20"/>
                <w:szCs w:val="20"/>
              </w:rPr>
              <w:t>, Pathfinder Edition, October 2010 (Informational)</w:t>
            </w:r>
          </w:p>
        </w:tc>
        <w:tc>
          <w:tcPr>
            <w:tcW w:w="2502" w:type="dxa"/>
          </w:tcPr>
          <w:p w:rsidR="00AE014E" w:rsidRPr="00810BF9" w:rsidRDefault="00AE014E" w:rsidP="00CC00ED">
            <w:pPr>
              <w:rPr>
                <w:color w:val="000000" w:themeColor="text1"/>
                <w:sz w:val="20"/>
                <w:szCs w:val="20"/>
              </w:rPr>
            </w:pPr>
            <w:r w:rsidRPr="00810BF9">
              <w:rPr>
                <w:i/>
                <w:sz w:val="20"/>
                <w:szCs w:val="20"/>
              </w:rPr>
              <w:t>The Ox-Cart Man</w:t>
            </w:r>
            <w:r w:rsidRPr="00810BF9">
              <w:rPr>
                <w:sz w:val="20"/>
                <w:szCs w:val="20"/>
              </w:rPr>
              <w:t>, Donald Hall (Literary)</w:t>
            </w:r>
          </w:p>
        </w:tc>
      </w:tr>
      <w:tr w:rsidR="00C95556" w:rsidRPr="00CF0314" w:rsidTr="002D2EC4">
        <w:trPr>
          <w:trHeight w:val="2465"/>
        </w:trPr>
        <w:tc>
          <w:tcPr>
            <w:tcW w:w="2070" w:type="dxa"/>
            <w:vMerge/>
          </w:tcPr>
          <w:p w:rsidR="00C95556" w:rsidRPr="005A217C" w:rsidRDefault="00C95556" w:rsidP="00CC00ED">
            <w:pPr>
              <w:rPr>
                <w:rFonts w:ascii="Calibri" w:hAnsi="Calibri"/>
                <w:b/>
                <w:sz w:val="20"/>
                <w:szCs w:val="20"/>
              </w:rPr>
            </w:pPr>
          </w:p>
        </w:tc>
        <w:tc>
          <w:tcPr>
            <w:tcW w:w="2502" w:type="dxa"/>
          </w:tcPr>
          <w:p w:rsidR="00C95556" w:rsidRDefault="00C95556" w:rsidP="00CC00ED">
            <w:pPr>
              <w:rPr>
                <w:color w:val="000000" w:themeColor="text1"/>
                <w:sz w:val="20"/>
                <w:szCs w:val="20"/>
              </w:rPr>
            </w:pPr>
            <w:r w:rsidRPr="00981A65">
              <w:rPr>
                <w:color w:val="000000" w:themeColor="text1"/>
                <w:sz w:val="20"/>
                <w:szCs w:val="20"/>
              </w:rPr>
              <w:t xml:space="preserve">Students will explore </w:t>
            </w:r>
            <w:r w:rsidR="00917F4A">
              <w:rPr>
                <w:color w:val="000000" w:themeColor="text1"/>
                <w:sz w:val="20"/>
                <w:szCs w:val="20"/>
              </w:rPr>
              <w:t xml:space="preserve">the meaning of “home” and come </w:t>
            </w:r>
            <w:r>
              <w:rPr>
                <w:color w:val="000000" w:themeColor="text1"/>
                <w:sz w:val="20"/>
                <w:szCs w:val="20"/>
              </w:rPr>
              <w:t>to u</w:t>
            </w:r>
            <w:r w:rsidRPr="00981A65">
              <w:rPr>
                <w:color w:val="000000" w:themeColor="text1"/>
                <w:sz w:val="20"/>
                <w:szCs w:val="20"/>
              </w:rPr>
              <w:t>nderstand the similarities and differences in what children around the world consider their home.</w:t>
            </w:r>
          </w:p>
          <w:p w:rsidR="00C95556" w:rsidRPr="00981A65" w:rsidRDefault="00C95556" w:rsidP="00DA04C8">
            <w:pPr>
              <w:rPr>
                <w:color w:val="000000" w:themeColor="text1"/>
                <w:sz w:val="20"/>
                <w:szCs w:val="20"/>
              </w:rPr>
            </w:pPr>
            <w:r>
              <w:rPr>
                <w:color w:val="000000" w:themeColor="text1"/>
                <w:sz w:val="20"/>
                <w:szCs w:val="20"/>
              </w:rPr>
              <w:t>This set builds on the idea of appreciating differences</w:t>
            </w:r>
            <w:r w:rsidR="00DA04C8">
              <w:rPr>
                <w:color w:val="000000" w:themeColor="text1"/>
                <w:sz w:val="20"/>
                <w:szCs w:val="20"/>
              </w:rPr>
              <w:t xml:space="preserve"> and </w:t>
            </w:r>
            <w:r>
              <w:rPr>
                <w:color w:val="000000" w:themeColor="text1"/>
                <w:sz w:val="20"/>
                <w:szCs w:val="20"/>
              </w:rPr>
              <w:t>reading literature as a</w:t>
            </w:r>
            <w:r w:rsidR="00DA04C8">
              <w:rPr>
                <w:color w:val="000000" w:themeColor="text1"/>
                <w:sz w:val="20"/>
                <w:szCs w:val="20"/>
              </w:rPr>
              <w:t xml:space="preserve"> way to teach life lessons</w:t>
            </w:r>
            <w:r>
              <w:rPr>
                <w:color w:val="000000" w:themeColor="text1"/>
                <w:sz w:val="20"/>
                <w:szCs w:val="20"/>
              </w:rPr>
              <w:t>.</w:t>
            </w:r>
          </w:p>
        </w:tc>
        <w:tc>
          <w:tcPr>
            <w:tcW w:w="2502" w:type="dxa"/>
          </w:tcPr>
          <w:p w:rsidR="00C95556" w:rsidRPr="00C34D85" w:rsidRDefault="00C95556" w:rsidP="00917F4A">
            <w:pPr>
              <w:rPr>
                <w:color w:val="000000" w:themeColor="text1"/>
                <w:sz w:val="20"/>
                <w:szCs w:val="20"/>
              </w:rPr>
            </w:pPr>
            <w:r w:rsidRPr="00C34D85">
              <w:rPr>
                <w:color w:val="000000" w:themeColor="text1"/>
                <w:sz w:val="20"/>
                <w:szCs w:val="20"/>
              </w:rPr>
              <w:t xml:space="preserve">Students </w:t>
            </w:r>
            <w:r w:rsidR="002D2EC4">
              <w:rPr>
                <w:color w:val="000000" w:themeColor="text1"/>
                <w:sz w:val="20"/>
                <w:szCs w:val="20"/>
              </w:rPr>
              <w:t xml:space="preserve">will </w:t>
            </w:r>
            <w:r w:rsidRPr="00C34D85">
              <w:rPr>
                <w:color w:val="000000" w:themeColor="text1"/>
                <w:sz w:val="20"/>
                <w:szCs w:val="20"/>
              </w:rPr>
              <w:t xml:space="preserve">learn about famous Americans and their role in American history. </w:t>
            </w:r>
            <w:r>
              <w:rPr>
                <w:color w:val="000000" w:themeColor="text1"/>
                <w:sz w:val="20"/>
                <w:szCs w:val="20"/>
              </w:rPr>
              <w:t xml:space="preserve">This set </w:t>
            </w:r>
            <w:r w:rsidRPr="00C34D85">
              <w:rPr>
                <w:color w:val="000000" w:themeColor="text1"/>
                <w:sz w:val="20"/>
                <w:szCs w:val="20"/>
              </w:rPr>
              <w:t>build</w:t>
            </w:r>
            <w:r>
              <w:rPr>
                <w:color w:val="000000" w:themeColor="text1"/>
                <w:sz w:val="20"/>
                <w:szCs w:val="20"/>
              </w:rPr>
              <w:t>s</w:t>
            </w:r>
            <w:r w:rsidRPr="00C34D85">
              <w:rPr>
                <w:color w:val="000000" w:themeColor="text1"/>
                <w:sz w:val="20"/>
                <w:szCs w:val="20"/>
              </w:rPr>
              <w:t xml:space="preserve"> on </w:t>
            </w:r>
            <w:r>
              <w:rPr>
                <w:color w:val="000000" w:themeColor="text1"/>
                <w:sz w:val="20"/>
                <w:szCs w:val="20"/>
              </w:rPr>
              <w:t xml:space="preserve">students’ </w:t>
            </w:r>
            <w:r w:rsidRPr="00C34D85">
              <w:rPr>
                <w:color w:val="000000" w:themeColor="text1"/>
                <w:sz w:val="20"/>
                <w:szCs w:val="20"/>
              </w:rPr>
              <w:t>knowledge of national symbols, holidays, and the democratic process learned in kindergarten and grade 1.</w:t>
            </w:r>
          </w:p>
        </w:tc>
        <w:tc>
          <w:tcPr>
            <w:tcW w:w="2502" w:type="dxa"/>
          </w:tcPr>
          <w:p w:rsidR="00C95556" w:rsidRPr="00C34D85" w:rsidRDefault="00C95556" w:rsidP="00917F4A">
            <w:pPr>
              <w:rPr>
                <w:sz w:val="20"/>
                <w:szCs w:val="20"/>
              </w:rPr>
            </w:pPr>
            <w:r w:rsidRPr="00C34D85">
              <w:rPr>
                <w:sz w:val="20"/>
                <w:szCs w:val="20"/>
              </w:rPr>
              <w:t>Stude</w:t>
            </w:r>
            <w:r w:rsidR="00917F4A">
              <w:rPr>
                <w:sz w:val="20"/>
                <w:szCs w:val="20"/>
              </w:rPr>
              <w:t>nts</w:t>
            </w:r>
            <w:r w:rsidR="002D2EC4">
              <w:rPr>
                <w:sz w:val="20"/>
                <w:szCs w:val="20"/>
              </w:rPr>
              <w:t xml:space="preserve"> will</w:t>
            </w:r>
            <w:r w:rsidR="00917F4A">
              <w:rPr>
                <w:sz w:val="20"/>
                <w:szCs w:val="20"/>
              </w:rPr>
              <w:t xml:space="preserve"> explore how stories can be common across cultures and </w:t>
            </w:r>
            <w:r w:rsidRPr="00C34D85">
              <w:rPr>
                <w:sz w:val="20"/>
                <w:szCs w:val="20"/>
              </w:rPr>
              <w:t xml:space="preserve">how </w:t>
            </w:r>
            <w:r w:rsidR="00917F4A">
              <w:rPr>
                <w:sz w:val="20"/>
                <w:szCs w:val="20"/>
              </w:rPr>
              <w:t xml:space="preserve">differences in </w:t>
            </w:r>
            <w:r w:rsidRPr="00C34D85">
              <w:rPr>
                <w:sz w:val="20"/>
                <w:szCs w:val="20"/>
              </w:rPr>
              <w:t>stories provide insight into the values of different cultures. Students come to understand that customs and</w:t>
            </w:r>
            <w:r w:rsidR="00E963C3">
              <w:rPr>
                <w:sz w:val="20"/>
                <w:szCs w:val="20"/>
              </w:rPr>
              <w:t xml:space="preserve"> ceremonies are part of culture.</w:t>
            </w:r>
          </w:p>
        </w:tc>
        <w:tc>
          <w:tcPr>
            <w:tcW w:w="2502" w:type="dxa"/>
          </w:tcPr>
          <w:p w:rsidR="00C95556" w:rsidRPr="00C34D85" w:rsidRDefault="00C95556" w:rsidP="002D2EC4">
            <w:pPr>
              <w:rPr>
                <w:color w:val="000000" w:themeColor="text1"/>
                <w:sz w:val="20"/>
                <w:szCs w:val="20"/>
              </w:rPr>
            </w:pPr>
            <w:r w:rsidRPr="00C34D85">
              <w:rPr>
                <w:color w:val="000000" w:themeColor="text1"/>
                <w:sz w:val="20"/>
                <w:szCs w:val="20"/>
              </w:rPr>
              <w:t>Students learn about the water cycle and the role of water in nature. They also learn about the importance of water.</w:t>
            </w:r>
            <w:r w:rsidR="002D2EC4">
              <w:rPr>
                <w:color w:val="000000" w:themeColor="text1"/>
                <w:sz w:val="20"/>
                <w:szCs w:val="20"/>
              </w:rPr>
              <w:t xml:space="preserve"> </w:t>
            </w:r>
            <w:r w:rsidRPr="00981A65">
              <w:rPr>
                <w:color w:val="000000" w:themeColor="text1"/>
                <w:sz w:val="20"/>
                <w:szCs w:val="20"/>
              </w:rPr>
              <w:t xml:space="preserve">This builds on </w:t>
            </w:r>
            <w:r>
              <w:rPr>
                <w:color w:val="000000" w:themeColor="text1"/>
                <w:sz w:val="20"/>
                <w:szCs w:val="20"/>
              </w:rPr>
              <w:t>the study of patterns and cycles introduced in kindergarten and continued in grade 1.</w:t>
            </w:r>
          </w:p>
        </w:tc>
        <w:tc>
          <w:tcPr>
            <w:tcW w:w="2502" w:type="dxa"/>
          </w:tcPr>
          <w:p w:rsidR="00C95556" w:rsidRPr="00810BF9" w:rsidRDefault="00C95556" w:rsidP="002D2EC4">
            <w:pPr>
              <w:rPr>
                <w:color w:val="000000" w:themeColor="text1"/>
                <w:sz w:val="20"/>
                <w:szCs w:val="20"/>
              </w:rPr>
            </w:pPr>
            <w:r w:rsidRPr="00810BF9">
              <w:rPr>
                <w:color w:val="000000" w:themeColor="text1"/>
                <w:sz w:val="20"/>
                <w:szCs w:val="20"/>
              </w:rPr>
              <w:t>Students learn how life changes over time and identify some of the causes of those changes.</w:t>
            </w:r>
            <w:r w:rsidR="002D2EC4">
              <w:rPr>
                <w:color w:val="000000" w:themeColor="text1"/>
                <w:sz w:val="20"/>
                <w:szCs w:val="20"/>
              </w:rPr>
              <w:t xml:space="preserve"> </w:t>
            </w:r>
            <w:r>
              <w:rPr>
                <w:color w:val="000000" w:themeColor="text1"/>
                <w:sz w:val="20"/>
                <w:szCs w:val="20"/>
              </w:rPr>
              <w:t>This set builds on the study of how humans respond to nature and seasonal changes and use the land for production and consumption.</w:t>
            </w:r>
            <w:r w:rsidRPr="00981A65">
              <w:rPr>
                <w:color w:val="000000" w:themeColor="text1"/>
                <w:sz w:val="20"/>
                <w:szCs w:val="20"/>
              </w:rPr>
              <w:t xml:space="preserve"> </w:t>
            </w:r>
          </w:p>
        </w:tc>
      </w:tr>
      <w:tr w:rsidR="00C95556" w:rsidTr="00226B4A">
        <w:trPr>
          <w:trHeight w:val="2330"/>
        </w:trPr>
        <w:tc>
          <w:tcPr>
            <w:tcW w:w="2070" w:type="dxa"/>
          </w:tcPr>
          <w:p w:rsidR="00C95556" w:rsidRPr="005A217C" w:rsidRDefault="006876B5" w:rsidP="00CC00ED">
            <w:pPr>
              <w:rPr>
                <w:rFonts w:ascii="Calibri" w:hAnsi="Calibri"/>
                <w:b/>
                <w:sz w:val="20"/>
                <w:szCs w:val="20"/>
              </w:rPr>
            </w:pPr>
            <w:hyperlink r:id="rId11" w:history="1">
              <w:r w:rsidR="00C95556" w:rsidRPr="00FB4A4B">
                <w:rPr>
                  <w:rStyle w:val="Hyperlink"/>
                  <w:rFonts w:ascii="Calibri" w:hAnsi="Calibri"/>
                  <w:b/>
                  <w:sz w:val="20"/>
                  <w:szCs w:val="20"/>
                </w:rPr>
                <w:t>Increas</w:t>
              </w:r>
              <w:r w:rsidR="00E9395B" w:rsidRPr="00FB4A4B">
                <w:rPr>
                  <w:rStyle w:val="Hyperlink"/>
                  <w:rFonts w:ascii="Calibri" w:hAnsi="Calibri"/>
                  <w:b/>
                  <w:sz w:val="20"/>
                  <w:szCs w:val="20"/>
                </w:rPr>
                <w:t>e</w:t>
              </w:r>
              <w:r w:rsidR="00A70640" w:rsidRPr="00FB4A4B">
                <w:rPr>
                  <w:rStyle w:val="Hyperlink"/>
                  <w:rFonts w:ascii="Calibri" w:hAnsi="Calibri"/>
                  <w:b/>
                  <w:sz w:val="20"/>
                  <w:szCs w:val="20"/>
                </w:rPr>
                <w:t xml:space="preserve"> t</w:t>
              </w:r>
              <w:r w:rsidR="00C95556" w:rsidRPr="00FB4A4B">
                <w:rPr>
                  <w:rStyle w:val="Hyperlink"/>
                  <w:rFonts w:ascii="Calibri" w:hAnsi="Calibri"/>
                  <w:b/>
                  <w:sz w:val="20"/>
                  <w:szCs w:val="20"/>
                </w:rPr>
                <w:t xml:space="preserve">ext </w:t>
              </w:r>
              <w:r w:rsidR="00A70640" w:rsidRPr="00FB4A4B">
                <w:rPr>
                  <w:rStyle w:val="Hyperlink"/>
                  <w:rFonts w:ascii="Calibri" w:hAnsi="Calibri"/>
                  <w:b/>
                  <w:sz w:val="20"/>
                  <w:szCs w:val="20"/>
                </w:rPr>
                <w:t>c</w:t>
              </w:r>
              <w:r w:rsidR="00C95556" w:rsidRPr="00FB4A4B">
                <w:rPr>
                  <w:rStyle w:val="Hyperlink"/>
                  <w:rFonts w:ascii="Calibri" w:hAnsi="Calibri"/>
                  <w:b/>
                  <w:sz w:val="20"/>
                  <w:szCs w:val="20"/>
                </w:rPr>
                <w:t>omplexity</w:t>
              </w:r>
            </w:hyperlink>
            <w:r w:rsidR="00EC583A" w:rsidRPr="00B34D66">
              <w:rPr>
                <w:rStyle w:val="FootnoteReference"/>
                <w:rFonts w:ascii="Calibri" w:hAnsi="Calibri"/>
                <w:b/>
                <w:sz w:val="24"/>
                <w:szCs w:val="24"/>
              </w:rPr>
              <w:footnoteReference w:id="1"/>
            </w:r>
            <w:r w:rsidR="008B400C">
              <w:rPr>
                <w:rFonts w:ascii="Calibri" w:hAnsi="Calibri"/>
                <w:b/>
                <w:sz w:val="20"/>
                <w:szCs w:val="20"/>
              </w:rPr>
              <w:t xml:space="preserve"> and </w:t>
            </w:r>
            <w:r w:rsidR="00A70640">
              <w:rPr>
                <w:rFonts w:ascii="Calibri" w:hAnsi="Calibri"/>
                <w:b/>
                <w:sz w:val="20"/>
                <w:szCs w:val="20"/>
              </w:rPr>
              <w:t>i</w:t>
            </w:r>
            <w:r w:rsidR="00E9395B">
              <w:rPr>
                <w:rFonts w:ascii="Calibri" w:hAnsi="Calibri"/>
                <w:b/>
                <w:sz w:val="20"/>
                <w:szCs w:val="20"/>
              </w:rPr>
              <w:t>ntegrate</w:t>
            </w:r>
            <w:r w:rsidR="008B400C">
              <w:rPr>
                <w:rFonts w:ascii="Calibri" w:hAnsi="Calibri"/>
                <w:b/>
                <w:sz w:val="20"/>
                <w:szCs w:val="20"/>
              </w:rPr>
              <w:t xml:space="preserve"> standards around </w:t>
            </w:r>
            <w:r w:rsidR="00A70640">
              <w:rPr>
                <w:rFonts w:ascii="Calibri" w:hAnsi="Calibri"/>
                <w:b/>
                <w:sz w:val="20"/>
                <w:szCs w:val="20"/>
              </w:rPr>
              <w:t>t</w:t>
            </w:r>
            <w:r w:rsidR="00C95556">
              <w:rPr>
                <w:rFonts w:ascii="Calibri" w:hAnsi="Calibri"/>
                <w:b/>
                <w:sz w:val="20"/>
                <w:szCs w:val="20"/>
              </w:rPr>
              <w:t>ext</w:t>
            </w:r>
            <w:r w:rsidR="00C95556" w:rsidRPr="005A217C">
              <w:rPr>
                <w:rFonts w:ascii="Calibri" w:hAnsi="Calibri"/>
                <w:b/>
                <w:sz w:val="20"/>
                <w:szCs w:val="20"/>
              </w:rPr>
              <w:t>:</w:t>
            </w:r>
          </w:p>
          <w:p w:rsidR="00C95556" w:rsidRPr="00B15842" w:rsidRDefault="00C95556" w:rsidP="00CC00ED">
            <w:pPr>
              <w:rPr>
                <w:rFonts w:ascii="Calibri" w:hAnsi="Calibri"/>
                <w:sz w:val="20"/>
                <w:szCs w:val="20"/>
              </w:rPr>
            </w:pPr>
            <w:r w:rsidRPr="005A217C">
              <w:rPr>
                <w:rFonts w:ascii="Calibri" w:hAnsi="Calibri"/>
                <w:sz w:val="20"/>
                <w:szCs w:val="20"/>
              </w:rPr>
              <w:t xml:space="preserve">Illustrate how </w:t>
            </w:r>
            <w:r>
              <w:rPr>
                <w:rFonts w:ascii="Calibri" w:hAnsi="Calibri"/>
                <w:sz w:val="20"/>
                <w:szCs w:val="20"/>
              </w:rPr>
              <w:t>complex t</w:t>
            </w:r>
            <w:r w:rsidR="00CF79B6">
              <w:rPr>
                <w:rFonts w:ascii="Calibri" w:hAnsi="Calibri"/>
                <w:sz w:val="20"/>
                <w:szCs w:val="20"/>
              </w:rPr>
              <w:t xml:space="preserve">ext is used </w:t>
            </w:r>
            <w:r>
              <w:rPr>
                <w:rFonts w:ascii="Calibri" w:hAnsi="Calibri"/>
                <w:sz w:val="20"/>
                <w:szCs w:val="20"/>
              </w:rPr>
              <w:t>and p</w:t>
            </w:r>
            <w:r w:rsidRPr="005A217C">
              <w:rPr>
                <w:rFonts w:ascii="Calibri" w:hAnsi="Calibri"/>
                <w:sz w:val="20"/>
                <w:szCs w:val="20"/>
              </w:rPr>
              <w:t>rovide multiple opportunities for students to develop their literacy</w:t>
            </w:r>
          </w:p>
        </w:tc>
        <w:tc>
          <w:tcPr>
            <w:tcW w:w="12510" w:type="dxa"/>
            <w:gridSpan w:val="5"/>
            <w:vAlign w:val="center"/>
          </w:tcPr>
          <w:p w:rsidR="00C95556" w:rsidRDefault="00C95556" w:rsidP="00CC00ED">
            <w:pPr>
              <w:rPr>
                <w:sz w:val="20"/>
                <w:szCs w:val="20"/>
              </w:rPr>
            </w:pPr>
            <w:r>
              <w:rPr>
                <w:sz w:val="20"/>
                <w:szCs w:val="20"/>
              </w:rPr>
              <w:t xml:space="preserve">This plan </w:t>
            </w:r>
            <w:r>
              <w:rPr>
                <w:noProof/>
                <w:sz w:val="20"/>
                <w:szCs w:val="20"/>
              </w:rPr>
              <w:t>provides</w:t>
            </w:r>
            <w:r w:rsidRPr="008E4500">
              <w:rPr>
                <w:noProof/>
                <w:sz w:val="20"/>
                <w:szCs w:val="20"/>
              </w:rPr>
              <w:t xml:space="preserve"> an overv</w:t>
            </w:r>
            <w:r>
              <w:rPr>
                <w:noProof/>
                <w:sz w:val="20"/>
                <w:szCs w:val="20"/>
              </w:rPr>
              <w:t>iew of whole-</w:t>
            </w:r>
            <w:r w:rsidR="00F12A2F">
              <w:rPr>
                <w:noProof/>
                <w:sz w:val="20"/>
                <w:szCs w:val="20"/>
              </w:rPr>
              <w:t xml:space="preserve">class </w:t>
            </w:r>
            <w:r>
              <w:rPr>
                <w:noProof/>
                <w:sz w:val="20"/>
                <w:szCs w:val="20"/>
              </w:rPr>
              <w:t>instruction, w</w:t>
            </w:r>
            <w:r w:rsidR="00D97660">
              <w:rPr>
                <w:noProof/>
                <w:sz w:val="20"/>
                <w:szCs w:val="20"/>
              </w:rPr>
              <w:t xml:space="preserve">hich is focused on </w:t>
            </w:r>
            <w:r>
              <w:rPr>
                <w:noProof/>
                <w:sz w:val="20"/>
                <w:szCs w:val="20"/>
              </w:rPr>
              <w:t>engagin</w:t>
            </w:r>
            <w:r w:rsidR="00D97660">
              <w:rPr>
                <w:noProof/>
                <w:sz w:val="20"/>
                <w:szCs w:val="20"/>
              </w:rPr>
              <w:t xml:space="preserve">g students in meaningfully </w:t>
            </w:r>
            <w:r>
              <w:rPr>
                <w:noProof/>
                <w:sz w:val="20"/>
                <w:szCs w:val="20"/>
              </w:rPr>
              <w:t>responding to co</w:t>
            </w:r>
            <w:r w:rsidR="00FF2B53">
              <w:rPr>
                <w:noProof/>
                <w:sz w:val="20"/>
                <w:szCs w:val="20"/>
              </w:rPr>
              <w:t xml:space="preserve">mplex </w:t>
            </w:r>
            <w:r>
              <w:rPr>
                <w:noProof/>
                <w:sz w:val="20"/>
                <w:szCs w:val="20"/>
              </w:rPr>
              <w:t xml:space="preserve">texts. </w:t>
            </w:r>
            <w:r>
              <w:rPr>
                <w:color w:val="000000" w:themeColor="text1"/>
                <w:sz w:val="20"/>
                <w:szCs w:val="20"/>
              </w:rPr>
              <w:t xml:space="preserve">Each set has a range of texts, from grade-level texts for students to read along with a teacher to above grade-level texts suitable for reading aloud. </w:t>
            </w:r>
            <w:hyperlink r:id="rId12" w:history="1">
              <w:r w:rsidRPr="00FB4A4B">
                <w:rPr>
                  <w:rStyle w:val="Hyperlink"/>
                  <w:sz w:val="20"/>
                  <w:szCs w:val="20"/>
                </w:rPr>
                <w:t>All students will need additional support in small-group ins</w:t>
              </w:r>
              <w:r w:rsidR="00EC583A" w:rsidRPr="00FB4A4B">
                <w:rPr>
                  <w:rStyle w:val="Hyperlink"/>
                  <w:sz w:val="20"/>
                  <w:szCs w:val="20"/>
                </w:rPr>
                <w:t xml:space="preserve">truction with texts written at </w:t>
              </w:r>
              <w:r w:rsidRPr="00FB4A4B">
                <w:rPr>
                  <w:rStyle w:val="Hyperlink"/>
                  <w:sz w:val="20"/>
                  <w:szCs w:val="20"/>
                </w:rPr>
                <w:t>their reading level.</w:t>
              </w:r>
            </w:hyperlink>
          </w:p>
          <w:p w:rsidR="00C95556" w:rsidRDefault="00C95556" w:rsidP="00CC00ED">
            <w:pPr>
              <w:rPr>
                <w:noProof/>
                <w:sz w:val="20"/>
                <w:szCs w:val="20"/>
              </w:rPr>
            </w:pPr>
          </w:p>
          <w:p w:rsidR="00FF2B53" w:rsidRPr="00FF2B53" w:rsidRDefault="00C95556" w:rsidP="00FF2B53">
            <w:pPr>
              <w:rPr>
                <w:noProof/>
                <w:sz w:val="20"/>
                <w:szCs w:val="20"/>
              </w:rPr>
            </w:pPr>
            <w:r w:rsidRPr="008E4500">
              <w:rPr>
                <w:noProof/>
                <w:sz w:val="20"/>
                <w:szCs w:val="20"/>
              </w:rPr>
              <w:t>Developing students’ facility with the</w:t>
            </w:r>
            <w:r w:rsidR="00FF2B53">
              <w:rPr>
                <w:noProof/>
                <w:sz w:val="20"/>
                <w:szCs w:val="20"/>
              </w:rPr>
              <w:t xml:space="preserve"> reading foundational skills</w:t>
            </w:r>
            <w:r w:rsidRPr="008E4500">
              <w:rPr>
                <w:noProof/>
                <w:sz w:val="20"/>
                <w:szCs w:val="20"/>
              </w:rPr>
              <w:t xml:space="preserve"> is critical for students’ later success as readers</w:t>
            </w:r>
            <w:r w:rsidR="00FF2B53">
              <w:rPr>
                <w:noProof/>
                <w:sz w:val="20"/>
                <w:szCs w:val="20"/>
              </w:rPr>
              <w:t>.</w:t>
            </w:r>
            <w:r>
              <w:rPr>
                <w:noProof/>
                <w:sz w:val="20"/>
                <w:szCs w:val="20"/>
              </w:rPr>
              <w:t xml:space="preserve"> While incidental </w:t>
            </w:r>
            <w:r w:rsidRPr="008E4500">
              <w:rPr>
                <w:noProof/>
                <w:sz w:val="20"/>
                <w:szCs w:val="20"/>
              </w:rPr>
              <w:t xml:space="preserve">reading foundational skills can be taught </w:t>
            </w:r>
            <w:r w:rsidR="00FF2B53">
              <w:rPr>
                <w:noProof/>
                <w:sz w:val="20"/>
                <w:szCs w:val="20"/>
              </w:rPr>
              <w:t>as a whole class using no text or portion</w:t>
            </w:r>
            <w:r w:rsidR="00EC583A">
              <w:rPr>
                <w:noProof/>
                <w:sz w:val="20"/>
                <w:szCs w:val="20"/>
              </w:rPr>
              <w:t>s of the whole-class texts (i.e.</w:t>
            </w:r>
            <w:r w:rsidR="00FF2B53">
              <w:rPr>
                <w:noProof/>
                <w:sz w:val="20"/>
                <w:szCs w:val="20"/>
              </w:rPr>
              <w:t xml:space="preserve">, words, phrases, sentences, paragraphs), whole-class instruction should be balanced with </w:t>
            </w:r>
            <w:r w:rsidR="00EC583A">
              <w:rPr>
                <w:noProof/>
                <w:sz w:val="20"/>
                <w:szCs w:val="20"/>
              </w:rPr>
              <w:t xml:space="preserve">explicit and systematic </w:t>
            </w:r>
            <w:r>
              <w:rPr>
                <w:noProof/>
                <w:sz w:val="20"/>
                <w:szCs w:val="20"/>
              </w:rPr>
              <w:t>i</w:t>
            </w:r>
            <w:r w:rsidRPr="008E4500">
              <w:rPr>
                <w:noProof/>
                <w:sz w:val="20"/>
                <w:szCs w:val="20"/>
              </w:rPr>
              <w:t xml:space="preserve">nstruction in the </w:t>
            </w:r>
            <w:hyperlink r:id="rId13" w:history="1">
              <w:r w:rsidR="00FF2B53">
                <w:rPr>
                  <w:rStyle w:val="Hyperlink"/>
                  <w:noProof/>
                  <w:sz w:val="20"/>
                  <w:szCs w:val="20"/>
                </w:rPr>
                <w:t>foundations of reading</w:t>
              </w:r>
            </w:hyperlink>
            <w:r w:rsidRPr="008E4500">
              <w:rPr>
                <w:noProof/>
                <w:sz w:val="20"/>
                <w:szCs w:val="20"/>
              </w:rPr>
              <w:t xml:space="preserve"> during small-group literacy instruction</w:t>
            </w:r>
            <w:r w:rsidRPr="008B400C">
              <w:rPr>
                <w:rStyle w:val="FootnoteReference"/>
                <w:b/>
                <w:noProof/>
              </w:rPr>
              <w:footnoteReference w:id="2"/>
            </w:r>
            <w:r w:rsidR="00FF2B53">
              <w:rPr>
                <w:noProof/>
                <w:sz w:val="20"/>
                <w:szCs w:val="20"/>
              </w:rPr>
              <w:t xml:space="preserve">. </w:t>
            </w:r>
            <w:r>
              <w:rPr>
                <w:noProof/>
                <w:sz w:val="20"/>
                <w:szCs w:val="20"/>
              </w:rPr>
              <w:t xml:space="preserve">This </w:t>
            </w:r>
            <w:r w:rsidRPr="008E4500">
              <w:rPr>
                <w:noProof/>
                <w:sz w:val="20"/>
                <w:szCs w:val="20"/>
              </w:rPr>
              <w:t xml:space="preserve">structure serves to provide students with instruction </w:t>
            </w:r>
            <w:r w:rsidR="00FF2B53">
              <w:rPr>
                <w:noProof/>
                <w:sz w:val="20"/>
                <w:szCs w:val="20"/>
              </w:rPr>
              <w:t xml:space="preserve">in how to read while motivating </w:t>
            </w:r>
            <w:r w:rsidRPr="008E4500">
              <w:rPr>
                <w:noProof/>
                <w:sz w:val="20"/>
                <w:szCs w:val="20"/>
              </w:rPr>
              <w:t>students to want to read for the interesting meaning or knowledge they might gai</w:t>
            </w:r>
            <w:r w:rsidR="00FF2B53">
              <w:rPr>
                <w:noProof/>
                <w:sz w:val="20"/>
                <w:szCs w:val="20"/>
              </w:rPr>
              <w:t xml:space="preserve">n from high-quality </w:t>
            </w:r>
            <w:r w:rsidRPr="008E4500">
              <w:rPr>
                <w:noProof/>
                <w:sz w:val="20"/>
                <w:szCs w:val="20"/>
              </w:rPr>
              <w:t>complex texts. Students should also engage in regular independent reading</w:t>
            </w:r>
            <w:r w:rsidR="00FF2B53">
              <w:rPr>
                <w:noProof/>
                <w:sz w:val="20"/>
                <w:szCs w:val="20"/>
              </w:rPr>
              <w:t xml:space="preserve"> of books written at their independent reading level and self-selected texts for small-group instruction and literacy stations.</w:t>
            </w:r>
          </w:p>
        </w:tc>
      </w:tr>
    </w:tbl>
    <w:p w:rsidR="00C95556" w:rsidRDefault="00C95556">
      <w:pPr>
        <w:sectPr w:rsidR="00C95556" w:rsidSect="001228BB">
          <w:headerReference w:type="even" r:id="rId14"/>
          <w:headerReference w:type="default" r:id="rId15"/>
          <w:footerReference w:type="even" r:id="rId16"/>
          <w:footerReference w:type="default" r:id="rId17"/>
          <w:headerReference w:type="first" r:id="rId18"/>
          <w:footerReference w:type="first" r:id="rId19"/>
          <w:pgSz w:w="15840" w:h="12240" w:orient="landscape" w:code="1"/>
          <w:pgMar w:top="1980" w:right="720" w:bottom="900" w:left="720" w:header="720" w:footer="540" w:gutter="0"/>
          <w:cols w:space="720"/>
          <w:docGrid w:linePitch="360"/>
        </w:sectPr>
      </w:pPr>
    </w:p>
    <w:p w:rsidR="00C95556" w:rsidRPr="003607A3" w:rsidRDefault="00C95556" w:rsidP="00C95556">
      <w:pPr>
        <w:jc w:val="center"/>
        <w:rPr>
          <w:b/>
          <w:sz w:val="24"/>
          <w:szCs w:val="24"/>
        </w:rPr>
      </w:pPr>
      <w:bookmarkStart w:id="1" w:name="Treasure"/>
      <w:bookmarkEnd w:id="1"/>
      <w:r>
        <w:rPr>
          <w:rFonts w:cs="Cambria"/>
          <w:b/>
          <w:color w:val="000000" w:themeColor="text1"/>
          <w:sz w:val="32"/>
          <w:szCs w:val="32"/>
        </w:rPr>
        <w:lastRenderedPageBreak/>
        <w:t xml:space="preserve">English Language Arts/Literacy </w:t>
      </w:r>
      <w:r w:rsidR="00C56990">
        <w:rPr>
          <w:rFonts w:cs="Cambria"/>
          <w:b/>
          <w:color w:val="000000" w:themeColor="text1"/>
          <w:sz w:val="32"/>
          <w:szCs w:val="32"/>
        </w:rPr>
        <w:t xml:space="preserve">Grade 2 </w:t>
      </w:r>
      <w:r>
        <w:rPr>
          <w:rFonts w:cs="Cambria"/>
          <w:b/>
          <w:color w:val="000000" w:themeColor="text1"/>
          <w:sz w:val="32"/>
          <w:szCs w:val="32"/>
        </w:rPr>
        <w:t>Year-in-Detail (SAMPLE)</w:t>
      </w:r>
    </w:p>
    <w:tbl>
      <w:tblPr>
        <w:tblStyle w:val="TableGrid"/>
        <w:tblW w:w="14580" w:type="dxa"/>
        <w:tblInd w:w="108" w:type="dxa"/>
        <w:tblLayout w:type="fixed"/>
        <w:tblLook w:val="04A0" w:firstRow="1" w:lastRow="0" w:firstColumn="1" w:lastColumn="0" w:noHBand="0" w:noVBand="1"/>
      </w:tblPr>
      <w:tblGrid>
        <w:gridCol w:w="1170"/>
        <w:gridCol w:w="2880"/>
        <w:gridCol w:w="4680"/>
        <w:gridCol w:w="3060"/>
        <w:gridCol w:w="2790"/>
      </w:tblGrid>
      <w:tr w:rsidR="00D86381" w:rsidRPr="00555924" w:rsidTr="00960596">
        <w:trPr>
          <w:trHeight w:val="512"/>
        </w:trPr>
        <w:tc>
          <w:tcPr>
            <w:tcW w:w="1170" w:type="dxa"/>
            <w:vMerge w:val="restart"/>
            <w:shd w:val="clear" w:color="auto" w:fill="D9D9D9" w:themeFill="background1" w:themeFillShade="D9"/>
          </w:tcPr>
          <w:p w:rsidR="00D86381" w:rsidRPr="00555924" w:rsidRDefault="006876B5" w:rsidP="00CC00ED">
            <w:pPr>
              <w:spacing w:after="120"/>
              <w:contextualSpacing/>
              <w:rPr>
                <w:b/>
              </w:rPr>
            </w:pPr>
            <w:hyperlink r:id="rId20" w:history="1">
              <w:r w:rsidR="00D86381" w:rsidRPr="00FB4A4B">
                <w:rPr>
                  <w:rStyle w:val="Hyperlink"/>
                  <w:b/>
                </w:rPr>
                <w:t>Unit One</w:t>
              </w:r>
            </w:hyperlink>
          </w:p>
        </w:tc>
        <w:tc>
          <w:tcPr>
            <w:tcW w:w="2880" w:type="dxa"/>
            <w:vMerge w:val="restart"/>
          </w:tcPr>
          <w:p w:rsidR="00D86381" w:rsidRPr="00555924" w:rsidRDefault="00D86381" w:rsidP="00CC00ED">
            <w:pPr>
              <w:spacing w:after="120"/>
              <w:rPr>
                <w:b/>
              </w:rPr>
            </w:pPr>
            <w:r w:rsidRPr="00555924">
              <w:rPr>
                <w:b/>
              </w:rPr>
              <w:t>Anchor Text</w:t>
            </w:r>
          </w:p>
          <w:p w:rsidR="00D86381" w:rsidRPr="00555924" w:rsidRDefault="00D86381" w:rsidP="00CC00ED">
            <w:r w:rsidRPr="00555924">
              <w:rPr>
                <w:i/>
              </w:rPr>
              <w:t>The Treasure</w:t>
            </w:r>
            <w:r w:rsidRPr="00555924">
              <w:t>, Uri Shulevitz (Literary, Appendix B Exemplar)</w:t>
            </w:r>
          </w:p>
        </w:tc>
        <w:tc>
          <w:tcPr>
            <w:tcW w:w="4680" w:type="dxa"/>
            <w:vMerge w:val="restart"/>
          </w:tcPr>
          <w:p w:rsidR="00D86381" w:rsidRPr="00555924" w:rsidRDefault="00D86381" w:rsidP="00CC00ED">
            <w:pPr>
              <w:spacing w:after="120"/>
              <w:rPr>
                <w:b/>
              </w:rPr>
            </w:pPr>
            <w:r w:rsidRPr="00555924">
              <w:rPr>
                <w:b/>
              </w:rPr>
              <w:t>Related Texts</w:t>
            </w:r>
          </w:p>
          <w:p w:rsidR="00D86381" w:rsidRPr="00555924" w:rsidRDefault="00D86381" w:rsidP="00CC00ED">
            <w:pPr>
              <w:contextualSpacing/>
              <w:rPr>
                <w:i/>
                <w:u w:val="single"/>
              </w:rPr>
            </w:pPr>
            <w:r w:rsidRPr="00555924">
              <w:rPr>
                <w:i/>
                <w:u w:val="single"/>
              </w:rPr>
              <w:t>Literary Texts</w:t>
            </w:r>
          </w:p>
          <w:p w:rsidR="00D86381" w:rsidRPr="00555924" w:rsidRDefault="00D86381" w:rsidP="00C95556">
            <w:pPr>
              <w:pStyle w:val="ListParagraph"/>
              <w:numPr>
                <w:ilvl w:val="0"/>
                <w:numId w:val="10"/>
              </w:numPr>
              <w:ind w:left="342" w:hanging="270"/>
            </w:pPr>
            <w:r w:rsidRPr="00555924">
              <w:t>“Your World,” Georgia Douglas Johnson (Appendix B Exemplar, Poem)</w:t>
            </w:r>
          </w:p>
          <w:p w:rsidR="00D86381" w:rsidRPr="00555924" w:rsidRDefault="00D86381" w:rsidP="00A07513">
            <w:pPr>
              <w:pStyle w:val="ListParagraph"/>
              <w:numPr>
                <w:ilvl w:val="0"/>
                <w:numId w:val="10"/>
              </w:numPr>
              <w:ind w:left="342" w:hanging="270"/>
              <w:rPr>
                <w:rFonts w:cs="Arial"/>
              </w:rPr>
            </w:pPr>
            <w:r>
              <w:rPr>
                <w:rFonts w:cs="Arial"/>
              </w:rPr>
              <w:t>“</w:t>
            </w:r>
            <w:hyperlink r:id="rId21" w:history="1">
              <w:r w:rsidRPr="006C038F">
                <w:rPr>
                  <w:rStyle w:val="Hyperlink"/>
                  <w:rFonts w:cs="Arial"/>
                </w:rPr>
                <w:t>The Cyclone</w:t>
              </w:r>
            </w:hyperlink>
            <w:r>
              <w:rPr>
                <w:rFonts w:cs="Arial"/>
              </w:rPr>
              <w:t>,” “</w:t>
            </w:r>
            <w:hyperlink r:id="rId22" w:history="1">
              <w:r>
                <w:rPr>
                  <w:rStyle w:val="Hyperlink"/>
                  <w:rFonts w:cs="Arial"/>
                </w:rPr>
                <w:t>Glinda the Good Witch Grant’s Dorothy’s Wish</w:t>
              </w:r>
            </w:hyperlink>
            <w:r>
              <w:rPr>
                <w:rFonts w:cs="Arial"/>
              </w:rPr>
              <w:t>,” and “</w:t>
            </w:r>
            <w:hyperlink r:id="rId23" w:history="1">
              <w:r w:rsidRPr="006C038F">
                <w:rPr>
                  <w:rStyle w:val="Hyperlink"/>
                  <w:rFonts w:cs="Arial"/>
                </w:rPr>
                <w:t>Home Again</w:t>
              </w:r>
            </w:hyperlink>
            <w:r>
              <w:rPr>
                <w:rFonts w:cs="Arial"/>
              </w:rPr>
              <w:t xml:space="preserve">,” </w:t>
            </w:r>
            <w:r w:rsidRPr="00555924">
              <w:rPr>
                <w:rFonts w:cs="Arial"/>
                <w:i/>
              </w:rPr>
              <w:t xml:space="preserve">The </w:t>
            </w:r>
            <w:r>
              <w:rPr>
                <w:rFonts w:cs="Arial"/>
                <w:i/>
              </w:rPr>
              <w:t xml:space="preserve">Wonderful </w:t>
            </w:r>
            <w:r w:rsidRPr="00555924">
              <w:rPr>
                <w:rFonts w:cs="Arial"/>
                <w:i/>
              </w:rPr>
              <w:t>Wizard of Oz</w:t>
            </w:r>
            <w:r w:rsidRPr="00555924">
              <w:rPr>
                <w:rFonts w:cs="Arial"/>
              </w:rPr>
              <w:t xml:space="preserve">, </w:t>
            </w:r>
            <w:r>
              <w:rPr>
                <w:rFonts w:cs="Arial"/>
              </w:rPr>
              <w:t xml:space="preserve">L. </w:t>
            </w:r>
            <w:r w:rsidRPr="00555924">
              <w:rPr>
                <w:rFonts w:cs="Arial"/>
              </w:rPr>
              <w:t>Frank Baum (Appendix B Exemplar, Read Aloud)</w:t>
            </w:r>
          </w:p>
          <w:p w:rsidR="00D86381" w:rsidRPr="00555924" w:rsidRDefault="00D86381" w:rsidP="00C95556">
            <w:pPr>
              <w:pStyle w:val="ListParagraph"/>
              <w:numPr>
                <w:ilvl w:val="0"/>
                <w:numId w:val="10"/>
              </w:numPr>
              <w:ind w:left="342" w:hanging="270"/>
              <w:rPr>
                <w:rFonts w:cs="Arial"/>
              </w:rPr>
            </w:pPr>
            <w:r w:rsidRPr="00555924">
              <w:rPr>
                <w:rFonts w:cs="Arial"/>
                <w:i/>
              </w:rPr>
              <w:t>Fly Away Home</w:t>
            </w:r>
            <w:r w:rsidRPr="00555924">
              <w:rPr>
                <w:rFonts w:cs="Arial"/>
              </w:rPr>
              <w:t>, Eve Bunting</w:t>
            </w:r>
          </w:p>
          <w:p w:rsidR="00D86381" w:rsidRPr="00555924" w:rsidRDefault="00D86381" w:rsidP="00C95556">
            <w:pPr>
              <w:pStyle w:val="ListParagraph"/>
              <w:numPr>
                <w:ilvl w:val="0"/>
                <w:numId w:val="10"/>
              </w:numPr>
              <w:ind w:left="342" w:hanging="270"/>
              <w:rPr>
                <w:rFonts w:cs="Arial"/>
              </w:rPr>
            </w:pPr>
            <w:r w:rsidRPr="00555924">
              <w:rPr>
                <w:rFonts w:cs="Arial"/>
                <w:i/>
              </w:rPr>
              <w:t xml:space="preserve">A House Is a House for Me, </w:t>
            </w:r>
            <w:r w:rsidRPr="00555924">
              <w:rPr>
                <w:rFonts w:cs="Arial"/>
              </w:rPr>
              <w:t>Mary Ann Hoberman</w:t>
            </w:r>
          </w:p>
          <w:p w:rsidR="00D86381" w:rsidRPr="00555924" w:rsidRDefault="00D86381" w:rsidP="00CC00ED">
            <w:pPr>
              <w:spacing w:before="120"/>
              <w:contextualSpacing/>
              <w:rPr>
                <w:i/>
                <w:u w:val="single"/>
              </w:rPr>
            </w:pPr>
            <w:r w:rsidRPr="00555924">
              <w:rPr>
                <w:i/>
                <w:u w:val="single"/>
              </w:rPr>
              <w:t>Read-Aloud Informational Texts</w:t>
            </w:r>
          </w:p>
          <w:p w:rsidR="00D86381" w:rsidRPr="00555924" w:rsidRDefault="00D86381" w:rsidP="00C95556">
            <w:pPr>
              <w:pStyle w:val="ListParagraph"/>
              <w:numPr>
                <w:ilvl w:val="0"/>
                <w:numId w:val="10"/>
              </w:numPr>
              <w:autoSpaceDE w:val="0"/>
              <w:autoSpaceDN w:val="0"/>
              <w:adjustRightInd w:val="0"/>
              <w:ind w:left="342" w:hanging="270"/>
              <w:rPr>
                <w:rFonts w:cs="Gotham-BookItalic"/>
                <w:i/>
                <w:iCs/>
              </w:rPr>
            </w:pPr>
            <w:r w:rsidRPr="00555924">
              <w:rPr>
                <w:rFonts w:cs="Gotham-BookItalic"/>
                <w:iCs/>
              </w:rPr>
              <w:t xml:space="preserve">Excerpts from </w:t>
            </w:r>
            <w:r w:rsidRPr="00555924">
              <w:rPr>
                <w:rFonts w:cs="Gotham-BookItalic"/>
                <w:i/>
                <w:iCs/>
              </w:rPr>
              <w:t>If the World Were a Village: A Book about the World’s People</w:t>
            </w:r>
            <w:r w:rsidRPr="00555924">
              <w:rPr>
                <w:rFonts w:cs="Gotham-BookItalic"/>
                <w:iCs/>
              </w:rPr>
              <w:t>, David J. Smith (Appendix B Exemplar)</w:t>
            </w:r>
          </w:p>
          <w:p w:rsidR="00D86381" w:rsidRPr="00555924" w:rsidRDefault="00D86381" w:rsidP="00C95556">
            <w:pPr>
              <w:pStyle w:val="ListParagraph"/>
              <w:numPr>
                <w:ilvl w:val="0"/>
                <w:numId w:val="10"/>
              </w:numPr>
              <w:ind w:left="342" w:hanging="270"/>
            </w:pPr>
            <w:r w:rsidRPr="00555924">
              <w:t xml:space="preserve">Excerpts from </w:t>
            </w:r>
            <w:r w:rsidRPr="00555924">
              <w:rPr>
                <w:i/>
              </w:rPr>
              <w:t>A Life Like Mine</w:t>
            </w:r>
            <w:r w:rsidRPr="00555924">
              <w:t>, DK Publishing</w:t>
            </w:r>
          </w:p>
          <w:p w:rsidR="00D86381" w:rsidRPr="00555924" w:rsidRDefault="00D86381" w:rsidP="00C95556">
            <w:pPr>
              <w:pStyle w:val="ListParagraph"/>
              <w:numPr>
                <w:ilvl w:val="0"/>
                <w:numId w:val="10"/>
              </w:numPr>
              <w:ind w:left="342" w:hanging="270"/>
            </w:pPr>
            <w:r w:rsidRPr="00555924">
              <w:t xml:space="preserve">Excerpts from </w:t>
            </w:r>
            <w:r w:rsidRPr="00555924">
              <w:rPr>
                <w:i/>
              </w:rPr>
              <w:t>This Child, Every Child: A Book about the World’s Children</w:t>
            </w:r>
            <w:r w:rsidRPr="00555924">
              <w:t>, David J. Smith</w:t>
            </w:r>
          </w:p>
          <w:p w:rsidR="00D86381" w:rsidRPr="00555924" w:rsidRDefault="00D86381" w:rsidP="00CC00ED">
            <w:pPr>
              <w:spacing w:before="120"/>
              <w:rPr>
                <w:i/>
                <w:u w:val="single"/>
              </w:rPr>
            </w:pPr>
            <w:r w:rsidRPr="00555924">
              <w:rPr>
                <w:i/>
                <w:u w:val="single"/>
              </w:rPr>
              <w:t>Nonprint Texts</w:t>
            </w:r>
            <w:r w:rsidRPr="00555924">
              <w:rPr>
                <w:i/>
              </w:rPr>
              <w:t xml:space="preserve"> (e.g., Media, Website, Video, Film, Music, Art, Graphics</w:t>
            </w:r>
          </w:p>
          <w:p w:rsidR="00D86381" w:rsidRPr="00555924" w:rsidRDefault="00D86381" w:rsidP="00C95556">
            <w:pPr>
              <w:pStyle w:val="ListParagraph"/>
              <w:numPr>
                <w:ilvl w:val="0"/>
                <w:numId w:val="10"/>
              </w:numPr>
              <w:ind w:left="342" w:hanging="270"/>
              <w:rPr>
                <w:rFonts w:cs="Calibri"/>
              </w:rPr>
            </w:pPr>
            <w:r w:rsidRPr="00555924">
              <w:t>“</w:t>
            </w:r>
            <w:hyperlink r:id="rId24" w:history="1">
              <w:r w:rsidRPr="00D86381">
                <w:rPr>
                  <w:rStyle w:val="Hyperlink"/>
                </w:rPr>
                <w:t>What the World Eats, Part I</w:t>
              </w:r>
            </w:hyperlink>
            <w:r w:rsidRPr="00555924">
              <w:t>” and “</w:t>
            </w:r>
            <w:hyperlink r:id="rId25" w:history="1">
              <w:r w:rsidRPr="00D86381">
                <w:rPr>
                  <w:rStyle w:val="Hyperlink"/>
                </w:rPr>
                <w:t>What the World Eats, Part II</w:t>
              </w:r>
            </w:hyperlink>
            <w:r w:rsidRPr="00555924">
              <w:t xml:space="preserve">,” </w:t>
            </w:r>
            <w:r w:rsidRPr="00555924">
              <w:rPr>
                <w:i/>
              </w:rPr>
              <w:t>Time.com</w:t>
            </w:r>
            <w:r w:rsidRPr="00555924">
              <w:t xml:space="preserve"> (Photos)</w:t>
            </w:r>
          </w:p>
          <w:p w:rsidR="00D86381" w:rsidRPr="00555924" w:rsidRDefault="00D86381" w:rsidP="00C95556">
            <w:pPr>
              <w:numPr>
                <w:ilvl w:val="0"/>
                <w:numId w:val="10"/>
              </w:numPr>
              <w:ind w:left="346" w:hanging="274"/>
              <w:contextualSpacing/>
              <w:rPr>
                <w:rFonts w:cs="Calibri"/>
              </w:rPr>
            </w:pPr>
            <w:r w:rsidRPr="00555924">
              <w:rPr>
                <w:i/>
              </w:rPr>
              <w:t>Mirror</w:t>
            </w:r>
            <w:r w:rsidRPr="00555924">
              <w:t>, Jeannie Baker (Wordless Picture Book)</w:t>
            </w:r>
          </w:p>
        </w:tc>
        <w:tc>
          <w:tcPr>
            <w:tcW w:w="3060" w:type="dxa"/>
            <w:vMerge w:val="restart"/>
          </w:tcPr>
          <w:p w:rsidR="00D86381" w:rsidRPr="00555924" w:rsidRDefault="00D86381" w:rsidP="00CC00ED">
            <w:pPr>
              <w:spacing w:after="120"/>
              <w:rPr>
                <w:b/>
              </w:rPr>
            </w:pPr>
            <w:r w:rsidRPr="00555924">
              <w:rPr>
                <w:b/>
              </w:rPr>
              <w:t>Building Student Knowledge</w:t>
            </w:r>
          </w:p>
          <w:p w:rsidR="00D86381" w:rsidRPr="00555924" w:rsidRDefault="00D86381" w:rsidP="00E06B42">
            <w:r w:rsidRPr="00555924">
              <w:t>Students will explore what it means to search for meaning and belonging—a place they can call “home.” They will consider how children in various parts of the world live and come to understand the similarities and differences in what children around the world consider their home. This set can connect to social studies.</w:t>
            </w:r>
          </w:p>
        </w:tc>
        <w:tc>
          <w:tcPr>
            <w:tcW w:w="2790" w:type="dxa"/>
            <w:shd w:val="clear" w:color="auto" w:fill="D9D9D9" w:themeFill="background1" w:themeFillShade="D9"/>
          </w:tcPr>
          <w:p w:rsidR="00D86381" w:rsidRPr="00213528" w:rsidRDefault="006876B5" w:rsidP="00A23C4D">
            <w:pPr>
              <w:rPr>
                <w:b/>
              </w:rPr>
            </w:pPr>
            <w:hyperlink r:id="rId26" w:history="1">
              <w:r w:rsidR="00D86381" w:rsidRPr="00AD5FAE">
                <w:rPr>
                  <w:rStyle w:val="Hyperlink"/>
                  <w:b/>
                </w:rPr>
                <w:t>Possible Common Core State Standards</w:t>
              </w:r>
            </w:hyperlink>
          </w:p>
        </w:tc>
      </w:tr>
      <w:tr w:rsidR="00555924" w:rsidRPr="00555924" w:rsidTr="00960596">
        <w:trPr>
          <w:trHeight w:val="862"/>
        </w:trPr>
        <w:tc>
          <w:tcPr>
            <w:tcW w:w="1170" w:type="dxa"/>
            <w:vMerge/>
            <w:shd w:val="clear" w:color="auto" w:fill="D9D9D9" w:themeFill="background1" w:themeFillShade="D9"/>
          </w:tcPr>
          <w:p w:rsidR="008621E4" w:rsidRPr="00555924" w:rsidRDefault="008621E4" w:rsidP="00CC00ED">
            <w:pPr>
              <w:spacing w:after="120"/>
              <w:contextualSpacing/>
              <w:rPr>
                <w:b/>
              </w:rPr>
            </w:pPr>
          </w:p>
        </w:tc>
        <w:tc>
          <w:tcPr>
            <w:tcW w:w="2880" w:type="dxa"/>
            <w:vMerge/>
          </w:tcPr>
          <w:p w:rsidR="008621E4" w:rsidRPr="00555924" w:rsidRDefault="008621E4" w:rsidP="00CC00ED">
            <w:pPr>
              <w:spacing w:after="120"/>
              <w:rPr>
                <w:b/>
              </w:rPr>
            </w:pPr>
          </w:p>
        </w:tc>
        <w:tc>
          <w:tcPr>
            <w:tcW w:w="4680" w:type="dxa"/>
            <w:vMerge/>
          </w:tcPr>
          <w:p w:rsidR="008621E4" w:rsidRPr="00555924" w:rsidRDefault="008621E4" w:rsidP="00CC00ED">
            <w:pPr>
              <w:spacing w:after="120"/>
              <w:rPr>
                <w:b/>
              </w:rPr>
            </w:pPr>
          </w:p>
        </w:tc>
        <w:tc>
          <w:tcPr>
            <w:tcW w:w="3060" w:type="dxa"/>
            <w:vMerge/>
          </w:tcPr>
          <w:p w:rsidR="008621E4" w:rsidRPr="00555924" w:rsidRDefault="008621E4" w:rsidP="00CC00ED">
            <w:pPr>
              <w:spacing w:after="120"/>
              <w:rPr>
                <w:b/>
              </w:rPr>
            </w:pPr>
          </w:p>
        </w:tc>
        <w:tc>
          <w:tcPr>
            <w:tcW w:w="2790" w:type="dxa"/>
          </w:tcPr>
          <w:p w:rsidR="008621E4" w:rsidRPr="00555924" w:rsidRDefault="008621E4" w:rsidP="008621E4">
            <w:pPr>
              <w:spacing w:after="120"/>
              <w:rPr>
                <w:b/>
              </w:rPr>
            </w:pPr>
            <w:r w:rsidRPr="00555924">
              <w:rPr>
                <w:b/>
              </w:rPr>
              <w:t>Reading</w:t>
            </w:r>
          </w:p>
          <w:p w:rsidR="008621E4" w:rsidRPr="00555924" w:rsidRDefault="008621E4" w:rsidP="008621E4">
            <w:r w:rsidRPr="00555924">
              <w:t>RL.2.1, RL.2.2, RL.2.3, RL.2.5, RL.2.7, RL.2.10</w:t>
            </w:r>
          </w:p>
          <w:p w:rsidR="008621E4" w:rsidRPr="00555924" w:rsidRDefault="008621E4" w:rsidP="008621E4">
            <w:pPr>
              <w:rPr>
                <w:b/>
              </w:rPr>
            </w:pPr>
            <w:r w:rsidRPr="00555924">
              <w:t>RI.2.1, RI.2.2, RI.2.4, RI.2.5, RI.2.6, RI.2.7, RI.2.8, RI.2.9, RI.2.10</w:t>
            </w:r>
          </w:p>
        </w:tc>
      </w:tr>
      <w:tr w:rsidR="00555924" w:rsidRPr="00555924" w:rsidTr="00960596">
        <w:trPr>
          <w:trHeight w:val="575"/>
        </w:trPr>
        <w:tc>
          <w:tcPr>
            <w:tcW w:w="1170" w:type="dxa"/>
            <w:vMerge/>
            <w:shd w:val="clear" w:color="auto" w:fill="D9D9D9" w:themeFill="background1" w:themeFillShade="D9"/>
          </w:tcPr>
          <w:p w:rsidR="008621E4" w:rsidRPr="00555924" w:rsidRDefault="008621E4" w:rsidP="00CC00ED">
            <w:pPr>
              <w:spacing w:after="120"/>
              <w:contextualSpacing/>
              <w:rPr>
                <w:b/>
              </w:rPr>
            </w:pPr>
          </w:p>
        </w:tc>
        <w:tc>
          <w:tcPr>
            <w:tcW w:w="2880" w:type="dxa"/>
            <w:vMerge/>
          </w:tcPr>
          <w:p w:rsidR="008621E4" w:rsidRPr="00555924" w:rsidRDefault="008621E4" w:rsidP="00CC00ED">
            <w:pPr>
              <w:spacing w:after="120"/>
              <w:contextualSpacing/>
              <w:rPr>
                <w:b/>
              </w:rPr>
            </w:pPr>
          </w:p>
        </w:tc>
        <w:tc>
          <w:tcPr>
            <w:tcW w:w="4680" w:type="dxa"/>
            <w:vMerge/>
          </w:tcPr>
          <w:p w:rsidR="008621E4" w:rsidRPr="00555924" w:rsidRDefault="008621E4" w:rsidP="00CC00ED">
            <w:pPr>
              <w:spacing w:after="120"/>
              <w:contextualSpacing/>
              <w:rPr>
                <w:b/>
              </w:rPr>
            </w:pPr>
          </w:p>
        </w:tc>
        <w:tc>
          <w:tcPr>
            <w:tcW w:w="3060" w:type="dxa"/>
            <w:vMerge/>
          </w:tcPr>
          <w:p w:rsidR="008621E4" w:rsidRPr="00555924" w:rsidRDefault="008621E4" w:rsidP="00CC00ED">
            <w:pPr>
              <w:spacing w:after="120"/>
              <w:rPr>
                <w:b/>
              </w:rPr>
            </w:pPr>
          </w:p>
        </w:tc>
        <w:tc>
          <w:tcPr>
            <w:tcW w:w="2790" w:type="dxa"/>
          </w:tcPr>
          <w:p w:rsidR="008621E4" w:rsidRPr="00555924" w:rsidRDefault="00D86381" w:rsidP="00CC00ED">
            <w:pPr>
              <w:spacing w:after="120"/>
              <w:rPr>
                <w:b/>
              </w:rPr>
            </w:pPr>
            <w:r>
              <w:rPr>
                <w:b/>
              </w:rPr>
              <w:t xml:space="preserve">Reading Standards: </w:t>
            </w:r>
            <w:r w:rsidRPr="000D39D5">
              <w:rPr>
                <w:b/>
              </w:rPr>
              <w:t>Foundational Skills</w:t>
            </w:r>
            <w:r>
              <w:rPr>
                <w:b/>
              </w:rPr>
              <w:t xml:space="preserve"> </w:t>
            </w:r>
            <w:r w:rsidRPr="00D243D5">
              <w:rPr>
                <w:rStyle w:val="FootnoteReference"/>
                <w:b/>
                <w:sz w:val="24"/>
                <w:szCs w:val="24"/>
              </w:rPr>
              <w:footnoteReference w:id="3"/>
            </w:r>
          </w:p>
          <w:p w:rsidR="008621E4" w:rsidRPr="00555924" w:rsidRDefault="008621E4" w:rsidP="00CC00ED">
            <w:r w:rsidRPr="00555924">
              <w:t>RF.2.3a-b; RF.2.4a-b</w:t>
            </w:r>
          </w:p>
        </w:tc>
      </w:tr>
      <w:tr w:rsidR="00555924" w:rsidRPr="00555924" w:rsidTr="00960596">
        <w:trPr>
          <w:trHeight w:val="638"/>
        </w:trPr>
        <w:tc>
          <w:tcPr>
            <w:tcW w:w="1170" w:type="dxa"/>
            <w:vMerge/>
            <w:shd w:val="clear" w:color="auto" w:fill="D9D9D9" w:themeFill="background1" w:themeFillShade="D9"/>
          </w:tcPr>
          <w:p w:rsidR="008621E4" w:rsidRPr="00555924" w:rsidRDefault="008621E4" w:rsidP="00CC00ED">
            <w:pPr>
              <w:spacing w:after="120"/>
              <w:contextualSpacing/>
              <w:rPr>
                <w:b/>
              </w:rPr>
            </w:pPr>
          </w:p>
        </w:tc>
        <w:tc>
          <w:tcPr>
            <w:tcW w:w="2880" w:type="dxa"/>
            <w:vMerge w:val="restart"/>
          </w:tcPr>
          <w:p w:rsidR="008621E4" w:rsidRPr="00555924" w:rsidRDefault="008621E4" w:rsidP="00CC00ED">
            <w:pPr>
              <w:spacing w:after="120"/>
              <w:rPr>
                <w:b/>
              </w:rPr>
            </w:pPr>
            <w:r w:rsidRPr="00555924">
              <w:rPr>
                <w:b/>
              </w:rPr>
              <w:t>Text Complexity Rationale</w:t>
            </w:r>
          </w:p>
          <w:p w:rsidR="008621E4" w:rsidRPr="00555924" w:rsidRDefault="008621E4" w:rsidP="00CC00ED">
            <w:pPr>
              <w:spacing w:after="120"/>
              <w:rPr>
                <w:b/>
              </w:rPr>
            </w:pPr>
            <w:r w:rsidRPr="00555924">
              <w:t xml:space="preserve">The anchor text and several of the literary texts fall within the grades 2-3 </w:t>
            </w:r>
            <w:r w:rsidR="002D2EC4">
              <w:t xml:space="preserve">band, so they are suitable as </w:t>
            </w:r>
            <w:r w:rsidRPr="00555924">
              <w:t>read-along texts</w:t>
            </w:r>
            <w:r w:rsidR="002D2EC4">
              <w:t xml:space="preserve"> (not labeled read aloud)</w:t>
            </w:r>
            <w:r w:rsidRPr="00555924">
              <w:t>. Students should be able to demonstrate the ability to read the texts independently after several reads. The informational texts are from the grades 4-5 band, so they shou</w:t>
            </w:r>
            <w:r w:rsidR="002D2EC4">
              <w:t>ld be read aloud for whole-class</w:t>
            </w:r>
            <w:r w:rsidRPr="00555924">
              <w:t xml:space="preserve"> instruction.</w:t>
            </w:r>
          </w:p>
        </w:tc>
        <w:tc>
          <w:tcPr>
            <w:tcW w:w="4680" w:type="dxa"/>
            <w:vMerge/>
          </w:tcPr>
          <w:p w:rsidR="008621E4" w:rsidRPr="00555924" w:rsidRDefault="008621E4" w:rsidP="00CC00ED">
            <w:pPr>
              <w:spacing w:after="120"/>
              <w:contextualSpacing/>
              <w:rPr>
                <w:b/>
              </w:rPr>
            </w:pPr>
          </w:p>
        </w:tc>
        <w:tc>
          <w:tcPr>
            <w:tcW w:w="3060" w:type="dxa"/>
            <w:vMerge w:val="restart"/>
          </w:tcPr>
          <w:p w:rsidR="008621E4" w:rsidRPr="00555924" w:rsidRDefault="008621E4" w:rsidP="00CC00ED">
            <w:pPr>
              <w:spacing w:after="120"/>
              <w:rPr>
                <w:b/>
              </w:rPr>
            </w:pPr>
            <w:r w:rsidRPr="00555924">
              <w:rPr>
                <w:b/>
              </w:rPr>
              <w:t xml:space="preserve">Sample Shared Research and Writing </w:t>
            </w:r>
            <w:r w:rsidRPr="00555924">
              <w:rPr>
                <w:rStyle w:val="FootnoteReference"/>
                <w:b/>
                <w:sz w:val="24"/>
                <w:szCs w:val="24"/>
              </w:rPr>
              <w:footnoteReference w:id="4"/>
            </w:r>
          </w:p>
          <w:p w:rsidR="008621E4" w:rsidRPr="00555924" w:rsidRDefault="008621E4" w:rsidP="00CC00ED">
            <w:r w:rsidRPr="00555924">
              <w:t>Students will research the way children live in various parts of the world, using the literary and informational texts as the basis of their initial investigation. They will then write a letter in which they explain their “home” to a child living in another culture, sharing what is similar and different.</w:t>
            </w:r>
          </w:p>
        </w:tc>
        <w:tc>
          <w:tcPr>
            <w:tcW w:w="2790" w:type="dxa"/>
          </w:tcPr>
          <w:p w:rsidR="008621E4" w:rsidRPr="00555924" w:rsidRDefault="008621E4" w:rsidP="00CC00ED">
            <w:pPr>
              <w:spacing w:after="120"/>
              <w:rPr>
                <w:b/>
              </w:rPr>
            </w:pPr>
            <w:r w:rsidRPr="00555924">
              <w:rPr>
                <w:b/>
              </w:rPr>
              <w:t xml:space="preserve">Writing </w:t>
            </w:r>
          </w:p>
          <w:p w:rsidR="008621E4" w:rsidRPr="00555924" w:rsidRDefault="008621E4" w:rsidP="00CC00ED">
            <w:pPr>
              <w:rPr>
                <w:b/>
              </w:rPr>
            </w:pPr>
            <w:r w:rsidRPr="00555924">
              <w:t>W.2.1, W.2.2, W.2.3, W.2.5, W.2.6, W.2.7, W.2.8</w:t>
            </w:r>
          </w:p>
        </w:tc>
      </w:tr>
      <w:tr w:rsidR="00555924" w:rsidRPr="00555924" w:rsidTr="00960596">
        <w:trPr>
          <w:trHeight w:val="620"/>
        </w:trPr>
        <w:tc>
          <w:tcPr>
            <w:tcW w:w="1170" w:type="dxa"/>
            <w:vMerge/>
            <w:shd w:val="clear" w:color="auto" w:fill="D9D9D9" w:themeFill="background1" w:themeFillShade="D9"/>
          </w:tcPr>
          <w:p w:rsidR="008621E4" w:rsidRPr="00555924" w:rsidRDefault="008621E4" w:rsidP="00CC00ED">
            <w:pPr>
              <w:spacing w:after="120"/>
              <w:rPr>
                <w:b/>
              </w:rPr>
            </w:pPr>
          </w:p>
        </w:tc>
        <w:tc>
          <w:tcPr>
            <w:tcW w:w="2880" w:type="dxa"/>
            <w:vMerge/>
          </w:tcPr>
          <w:p w:rsidR="008621E4" w:rsidRPr="00555924" w:rsidRDefault="008621E4" w:rsidP="00CC00ED">
            <w:pPr>
              <w:spacing w:after="120"/>
              <w:rPr>
                <w:b/>
              </w:rPr>
            </w:pPr>
          </w:p>
        </w:tc>
        <w:tc>
          <w:tcPr>
            <w:tcW w:w="4680" w:type="dxa"/>
            <w:vMerge/>
          </w:tcPr>
          <w:p w:rsidR="008621E4" w:rsidRPr="00555924" w:rsidRDefault="008621E4" w:rsidP="00CC00ED">
            <w:pPr>
              <w:contextualSpacing/>
              <w:rPr>
                <w:b/>
              </w:rPr>
            </w:pPr>
          </w:p>
        </w:tc>
        <w:tc>
          <w:tcPr>
            <w:tcW w:w="3060" w:type="dxa"/>
            <w:vMerge/>
          </w:tcPr>
          <w:p w:rsidR="008621E4" w:rsidRPr="00555924" w:rsidRDefault="008621E4" w:rsidP="00CC00ED"/>
        </w:tc>
        <w:tc>
          <w:tcPr>
            <w:tcW w:w="2790" w:type="dxa"/>
          </w:tcPr>
          <w:p w:rsidR="008621E4" w:rsidRPr="00555924" w:rsidRDefault="008621E4" w:rsidP="00CC00ED">
            <w:pPr>
              <w:spacing w:after="120"/>
              <w:rPr>
                <w:b/>
              </w:rPr>
            </w:pPr>
            <w:r w:rsidRPr="00555924">
              <w:rPr>
                <w:b/>
              </w:rPr>
              <w:t xml:space="preserve">Speaking and Listening </w:t>
            </w:r>
          </w:p>
          <w:p w:rsidR="008621E4" w:rsidRPr="00555924" w:rsidRDefault="008621E4" w:rsidP="00CC00ED">
            <w:r w:rsidRPr="00555924">
              <w:t>SL</w:t>
            </w:r>
            <w:r w:rsidR="00A07513" w:rsidRPr="00555924">
              <w:t>.2.1a-c, SL.2.2,</w:t>
            </w:r>
            <w:r w:rsidRPr="00555924">
              <w:t xml:space="preserve"> SL.2.6</w:t>
            </w:r>
          </w:p>
        </w:tc>
      </w:tr>
      <w:tr w:rsidR="00555924" w:rsidRPr="00555924" w:rsidTr="00960596">
        <w:trPr>
          <w:trHeight w:val="1520"/>
        </w:trPr>
        <w:tc>
          <w:tcPr>
            <w:tcW w:w="1170" w:type="dxa"/>
            <w:vMerge/>
            <w:shd w:val="clear" w:color="auto" w:fill="D9D9D9" w:themeFill="background1" w:themeFillShade="D9"/>
          </w:tcPr>
          <w:p w:rsidR="008621E4" w:rsidRPr="00555924" w:rsidRDefault="008621E4" w:rsidP="00CC00ED">
            <w:pPr>
              <w:spacing w:after="120"/>
              <w:rPr>
                <w:b/>
              </w:rPr>
            </w:pPr>
          </w:p>
        </w:tc>
        <w:tc>
          <w:tcPr>
            <w:tcW w:w="2880" w:type="dxa"/>
            <w:vMerge/>
          </w:tcPr>
          <w:p w:rsidR="008621E4" w:rsidRPr="00555924" w:rsidRDefault="008621E4" w:rsidP="00CC00ED">
            <w:pPr>
              <w:spacing w:after="120"/>
              <w:rPr>
                <w:b/>
              </w:rPr>
            </w:pPr>
          </w:p>
        </w:tc>
        <w:tc>
          <w:tcPr>
            <w:tcW w:w="4680" w:type="dxa"/>
            <w:vMerge/>
          </w:tcPr>
          <w:p w:rsidR="008621E4" w:rsidRPr="00555924" w:rsidRDefault="008621E4" w:rsidP="00CC00ED">
            <w:pPr>
              <w:contextualSpacing/>
              <w:rPr>
                <w:b/>
              </w:rPr>
            </w:pPr>
          </w:p>
        </w:tc>
        <w:tc>
          <w:tcPr>
            <w:tcW w:w="3060" w:type="dxa"/>
            <w:vMerge/>
          </w:tcPr>
          <w:p w:rsidR="008621E4" w:rsidRPr="00555924" w:rsidRDefault="008621E4" w:rsidP="00CC00ED">
            <w:pPr>
              <w:rPr>
                <w:b/>
              </w:rPr>
            </w:pPr>
          </w:p>
        </w:tc>
        <w:tc>
          <w:tcPr>
            <w:tcW w:w="2790" w:type="dxa"/>
          </w:tcPr>
          <w:p w:rsidR="008621E4" w:rsidRPr="00555924" w:rsidRDefault="008621E4" w:rsidP="00CC00ED">
            <w:pPr>
              <w:spacing w:after="120"/>
              <w:rPr>
                <w:b/>
              </w:rPr>
            </w:pPr>
            <w:r w:rsidRPr="00555924">
              <w:rPr>
                <w:b/>
              </w:rPr>
              <w:t>Language</w:t>
            </w:r>
          </w:p>
          <w:p w:rsidR="008621E4" w:rsidRPr="00555924" w:rsidRDefault="008621E4" w:rsidP="00CC00ED">
            <w:r w:rsidRPr="00555924">
              <w:t>L.2.1a-c; L.2.2a-e;  L.2.4a, e; L.5.a-b; L.2.6</w:t>
            </w:r>
          </w:p>
        </w:tc>
      </w:tr>
    </w:tbl>
    <w:p w:rsidR="00C95556" w:rsidRPr="003607A3" w:rsidRDefault="00C95556" w:rsidP="00C95556">
      <w:pPr>
        <w:jc w:val="center"/>
        <w:rPr>
          <w:b/>
          <w:sz w:val="24"/>
          <w:szCs w:val="24"/>
        </w:rPr>
      </w:pPr>
      <w:r>
        <w:br w:type="page"/>
      </w:r>
      <w:bookmarkStart w:id="2" w:name="Heroes"/>
      <w:bookmarkEnd w:id="2"/>
      <w:r w:rsidR="00C56990">
        <w:rPr>
          <w:rFonts w:cs="Cambria"/>
          <w:b/>
          <w:color w:val="000000" w:themeColor="text1"/>
          <w:sz w:val="32"/>
          <w:szCs w:val="32"/>
        </w:rPr>
        <w:lastRenderedPageBreak/>
        <w:t xml:space="preserve">English Language Arts/Literacy Grade 2 </w:t>
      </w:r>
      <w:r>
        <w:rPr>
          <w:rFonts w:cs="Cambria"/>
          <w:b/>
          <w:color w:val="000000" w:themeColor="text1"/>
          <w:sz w:val="32"/>
          <w:szCs w:val="32"/>
        </w:rPr>
        <w:t>Year-in-Detail, cont. (SAMPLE)</w:t>
      </w:r>
    </w:p>
    <w:tbl>
      <w:tblPr>
        <w:tblStyle w:val="TableGrid"/>
        <w:tblW w:w="14580" w:type="dxa"/>
        <w:tblInd w:w="108" w:type="dxa"/>
        <w:tblLayout w:type="fixed"/>
        <w:tblLook w:val="04A0" w:firstRow="1" w:lastRow="0" w:firstColumn="1" w:lastColumn="0" w:noHBand="0" w:noVBand="1"/>
      </w:tblPr>
      <w:tblGrid>
        <w:gridCol w:w="1170"/>
        <w:gridCol w:w="2520"/>
        <w:gridCol w:w="2610"/>
        <w:gridCol w:w="5400"/>
        <w:gridCol w:w="2880"/>
      </w:tblGrid>
      <w:tr w:rsidR="00917F4A" w:rsidRPr="00555924" w:rsidTr="00D86381">
        <w:trPr>
          <w:trHeight w:val="465"/>
        </w:trPr>
        <w:tc>
          <w:tcPr>
            <w:tcW w:w="1170" w:type="dxa"/>
            <w:vMerge w:val="restart"/>
            <w:shd w:val="clear" w:color="auto" w:fill="D9D9D9" w:themeFill="background1" w:themeFillShade="D9"/>
          </w:tcPr>
          <w:p w:rsidR="00917F4A" w:rsidRPr="00555924" w:rsidRDefault="006876B5" w:rsidP="00CC00ED">
            <w:pPr>
              <w:spacing w:after="120"/>
              <w:contextualSpacing/>
              <w:rPr>
                <w:b/>
              </w:rPr>
            </w:pPr>
            <w:hyperlink r:id="rId27" w:history="1">
              <w:r w:rsidR="00917F4A" w:rsidRPr="00FB4A4B">
                <w:rPr>
                  <w:rStyle w:val="Hyperlink"/>
                  <w:b/>
                </w:rPr>
                <w:t>Unit Two</w:t>
              </w:r>
            </w:hyperlink>
          </w:p>
        </w:tc>
        <w:tc>
          <w:tcPr>
            <w:tcW w:w="2520" w:type="dxa"/>
            <w:vMerge w:val="restart"/>
          </w:tcPr>
          <w:p w:rsidR="00917F4A" w:rsidRPr="00555924" w:rsidRDefault="00917F4A" w:rsidP="00CC00ED">
            <w:pPr>
              <w:spacing w:after="120"/>
              <w:rPr>
                <w:b/>
              </w:rPr>
            </w:pPr>
            <w:r w:rsidRPr="00555924">
              <w:rPr>
                <w:b/>
              </w:rPr>
              <w:t>Read-Aloud Anchor Text</w:t>
            </w:r>
          </w:p>
          <w:p w:rsidR="00917F4A" w:rsidRPr="00555924" w:rsidRDefault="00917F4A" w:rsidP="00CC00ED">
            <w:pPr>
              <w:rPr>
                <w:rFonts w:cs="Times New Roman"/>
              </w:rPr>
            </w:pPr>
            <w:r w:rsidRPr="00555924">
              <w:rPr>
                <w:i/>
              </w:rPr>
              <w:t>50 American Heroes Every Kid Should Meet</w:t>
            </w:r>
            <w:r w:rsidRPr="00555924">
              <w:t>, Dennis Denenberg (Informational)</w:t>
            </w:r>
          </w:p>
        </w:tc>
        <w:tc>
          <w:tcPr>
            <w:tcW w:w="2610" w:type="dxa"/>
            <w:vMerge w:val="restart"/>
          </w:tcPr>
          <w:p w:rsidR="00917F4A" w:rsidRPr="00555924" w:rsidRDefault="00917F4A" w:rsidP="00CC00ED">
            <w:pPr>
              <w:spacing w:after="120"/>
              <w:rPr>
                <w:b/>
              </w:rPr>
            </w:pPr>
            <w:r w:rsidRPr="00555924">
              <w:rPr>
                <w:b/>
              </w:rPr>
              <w:t>Related Texts</w:t>
            </w:r>
          </w:p>
          <w:p w:rsidR="00917F4A" w:rsidRPr="00555924" w:rsidRDefault="00917F4A" w:rsidP="00CC00ED">
            <w:pPr>
              <w:contextualSpacing/>
              <w:rPr>
                <w:i/>
                <w:u w:val="single"/>
              </w:rPr>
            </w:pPr>
            <w:r w:rsidRPr="00555924">
              <w:rPr>
                <w:i/>
                <w:u w:val="single"/>
              </w:rPr>
              <w:t>Literary Texts</w:t>
            </w:r>
          </w:p>
          <w:p w:rsidR="00917F4A" w:rsidRPr="00555924" w:rsidRDefault="00917F4A" w:rsidP="00C95556">
            <w:pPr>
              <w:pStyle w:val="ListParagraph"/>
              <w:numPr>
                <w:ilvl w:val="0"/>
                <w:numId w:val="11"/>
              </w:numPr>
              <w:ind w:left="342" w:hanging="270"/>
              <w:rPr>
                <w:rFonts w:cs="Times New Roman"/>
              </w:rPr>
            </w:pPr>
            <w:r w:rsidRPr="00555924">
              <w:rPr>
                <w:rFonts w:cs="Times New Roman"/>
              </w:rPr>
              <w:t>“Helen Keller,” Langston Hughes</w:t>
            </w:r>
          </w:p>
          <w:p w:rsidR="00917F4A" w:rsidRPr="00555924" w:rsidRDefault="00917F4A" w:rsidP="00CC00ED">
            <w:pPr>
              <w:rPr>
                <w:i/>
                <w:u w:val="single"/>
              </w:rPr>
            </w:pPr>
          </w:p>
          <w:p w:rsidR="00917F4A" w:rsidRPr="00555924" w:rsidRDefault="00917F4A" w:rsidP="00CC00ED">
            <w:pPr>
              <w:rPr>
                <w:i/>
                <w:u w:val="single"/>
              </w:rPr>
            </w:pPr>
            <w:r w:rsidRPr="00555924">
              <w:rPr>
                <w:i/>
                <w:u w:val="single"/>
              </w:rPr>
              <w:t>Informational Texts</w:t>
            </w:r>
          </w:p>
          <w:p w:rsidR="00917F4A" w:rsidRPr="00555924" w:rsidRDefault="00917F4A" w:rsidP="00C95556">
            <w:pPr>
              <w:pStyle w:val="ListParagraph"/>
              <w:numPr>
                <w:ilvl w:val="0"/>
                <w:numId w:val="11"/>
              </w:numPr>
              <w:ind w:left="342" w:hanging="270"/>
            </w:pPr>
            <w:r w:rsidRPr="00555924">
              <w:rPr>
                <w:i/>
              </w:rPr>
              <w:t>Martin Luther King, Jr. and the March on Washington</w:t>
            </w:r>
            <w:r w:rsidRPr="00555924">
              <w:t>, Frances Ruffin (Appendix B Exemplar)</w:t>
            </w:r>
          </w:p>
          <w:p w:rsidR="00917F4A" w:rsidRPr="00555924" w:rsidRDefault="00917F4A" w:rsidP="00C95556">
            <w:pPr>
              <w:pStyle w:val="ListParagraph"/>
              <w:numPr>
                <w:ilvl w:val="0"/>
                <w:numId w:val="11"/>
              </w:numPr>
              <w:ind w:left="342" w:hanging="270"/>
            </w:pPr>
            <w:r w:rsidRPr="00555924">
              <w:rPr>
                <w:rFonts w:cs="Times New Roman"/>
                <w:bCs/>
              </w:rPr>
              <w:t xml:space="preserve">Excerpts from </w:t>
            </w:r>
            <w:r w:rsidRPr="00555924">
              <w:rPr>
                <w:rFonts w:cs="Times New Roman"/>
                <w:bCs/>
                <w:i/>
              </w:rPr>
              <w:t>Tales of Famous Americans</w:t>
            </w:r>
            <w:r w:rsidRPr="00555924">
              <w:rPr>
                <w:rFonts w:cs="Times New Roman"/>
                <w:bCs/>
              </w:rPr>
              <w:t>, Peter Roop and Connie Roop (Read Aloud)</w:t>
            </w:r>
          </w:p>
          <w:p w:rsidR="00917F4A" w:rsidRPr="00555924" w:rsidRDefault="00917F4A" w:rsidP="00C95556">
            <w:pPr>
              <w:pStyle w:val="ListParagraph"/>
              <w:numPr>
                <w:ilvl w:val="0"/>
                <w:numId w:val="11"/>
              </w:numPr>
              <w:ind w:left="342" w:hanging="270"/>
            </w:pPr>
            <w:r w:rsidRPr="00555924">
              <w:rPr>
                <w:i/>
              </w:rPr>
              <w:t>So You Want to Be an Inventor?</w:t>
            </w:r>
            <w:r w:rsidRPr="00555924">
              <w:t>, Judith St. George (Read Aloud)</w:t>
            </w:r>
          </w:p>
          <w:p w:rsidR="00917F4A" w:rsidRPr="00555924" w:rsidRDefault="00917F4A" w:rsidP="00C95556">
            <w:pPr>
              <w:pStyle w:val="ListParagraph"/>
              <w:numPr>
                <w:ilvl w:val="0"/>
                <w:numId w:val="11"/>
              </w:numPr>
              <w:ind w:left="342" w:hanging="270"/>
            </w:pPr>
            <w:r w:rsidRPr="00555924">
              <w:rPr>
                <w:i/>
              </w:rPr>
              <w:t>The Story of Ruby Bridges</w:t>
            </w:r>
            <w:r w:rsidRPr="00555924">
              <w:t>, Robert Coles (Appendix B Exemplar, Read Aloud)</w:t>
            </w:r>
          </w:p>
        </w:tc>
        <w:tc>
          <w:tcPr>
            <w:tcW w:w="5400" w:type="dxa"/>
            <w:vMerge w:val="restart"/>
          </w:tcPr>
          <w:p w:rsidR="00917F4A" w:rsidRPr="00555924" w:rsidRDefault="00917F4A" w:rsidP="00CC00ED">
            <w:pPr>
              <w:spacing w:after="120"/>
              <w:rPr>
                <w:b/>
              </w:rPr>
            </w:pPr>
            <w:r w:rsidRPr="00555924">
              <w:rPr>
                <w:b/>
              </w:rPr>
              <w:t>Building Student Knowledge</w:t>
            </w:r>
          </w:p>
          <w:p w:rsidR="00917F4A" w:rsidRPr="00555924" w:rsidRDefault="00917F4A" w:rsidP="00CC00ED">
            <w:r w:rsidRPr="00555924">
              <w:t>Students build on their knowledge of national symbols, holidays, and the democratic process learned in kindergarten and grade 1 to explore famous Americans and their role in American history. The exact individuals studied should be based on student interest and established in coordination with social studies content.</w:t>
            </w:r>
          </w:p>
        </w:tc>
        <w:tc>
          <w:tcPr>
            <w:tcW w:w="2880" w:type="dxa"/>
            <w:shd w:val="clear" w:color="auto" w:fill="D9D9D9" w:themeFill="background1" w:themeFillShade="D9"/>
          </w:tcPr>
          <w:p w:rsidR="00917F4A" w:rsidRPr="00555924" w:rsidRDefault="006876B5" w:rsidP="00A23C4D">
            <w:pPr>
              <w:rPr>
                <w:b/>
              </w:rPr>
            </w:pPr>
            <w:hyperlink r:id="rId28" w:history="1">
              <w:r w:rsidR="00917F4A" w:rsidRPr="00917F4A">
                <w:rPr>
                  <w:rStyle w:val="Hyperlink"/>
                  <w:b/>
                </w:rPr>
                <w:t>Possible Common Core State Standards</w:t>
              </w:r>
            </w:hyperlink>
          </w:p>
        </w:tc>
      </w:tr>
      <w:tr w:rsidR="00555924" w:rsidRPr="00555924" w:rsidTr="00D86381">
        <w:trPr>
          <w:trHeight w:val="465"/>
        </w:trPr>
        <w:tc>
          <w:tcPr>
            <w:tcW w:w="1170" w:type="dxa"/>
            <w:vMerge/>
            <w:shd w:val="clear" w:color="auto" w:fill="D9D9D9" w:themeFill="background1" w:themeFillShade="D9"/>
          </w:tcPr>
          <w:p w:rsidR="008621E4" w:rsidRPr="00555924" w:rsidRDefault="008621E4" w:rsidP="00CC00ED">
            <w:pPr>
              <w:spacing w:after="120"/>
              <w:contextualSpacing/>
              <w:rPr>
                <w:b/>
              </w:rPr>
            </w:pPr>
          </w:p>
        </w:tc>
        <w:tc>
          <w:tcPr>
            <w:tcW w:w="2520" w:type="dxa"/>
            <w:vMerge/>
          </w:tcPr>
          <w:p w:rsidR="008621E4" w:rsidRPr="00555924" w:rsidRDefault="008621E4" w:rsidP="00CC00ED">
            <w:pPr>
              <w:spacing w:after="120"/>
              <w:rPr>
                <w:b/>
              </w:rPr>
            </w:pPr>
          </w:p>
        </w:tc>
        <w:tc>
          <w:tcPr>
            <w:tcW w:w="2610" w:type="dxa"/>
            <w:vMerge/>
          </w:tcPr>
          <w:p w:rsidR="008621E4" w:rsidRPr="00555924" w:rsidRDefault="008621E4" w:rsidP="00CC00ED">
            <w:pPr>
              <w:spacing w:after="120"/>
              <w:rPr>
                <w:b/>
              </w:rPr>
            </w:pPr>
          </w:p>
        </w:tc>
        <w:tc>
          <w:tcPr>
            <w:tcW w:w="5400" w:type="dxa"/>
            <w:vMerge/>
          </w:tcPr>
          <w:p w:rsidR="008621E4" w:rsidRPr="00555924" w:rsidRDefault="008621E4" w:rsidP="00CC00ED">
            <w:pPr>
              <w:spacing w:after="120"/>
              <w:rPr>
                <w:b/>
              </w:rPr>
            </w:pPr>
          </w:p>
        </w:tc>
        <w:tc>
          <w:tcPr>
            <w:tcW w:w="2880" w:type="dxa"/>
          </w:tcPr>
          <w:p w:rsidR="008621E4" w:rsidRPr="00555924" w:rsidRDefault="008621E4" w:rsidP="008621E4">
            <w:pPr>
              <w:spacing w:after="120"/>
              <w:rPr>
                <w:b/>
              </w:rPr>
            </w:pPr>
            <w:r w:rsidRPr="00555924">
              <w:rPr>
                <w:b/>
              </w:rPr>
              <w:t xml:space="preserve">Reading </w:t>
            </w:r>
          </w:p>
          <w:p w:rsidR="008621E4" w:rsidRPr="00555924" w:rsidRDefault="008621E4" w:rsidP="008621E4">
            <w:pPr>
              <w:rPr>
                <w:b/>
              </w:rPr>
            </w:pPr>
            <w:r w:rsidRPr="00555924">
              <w:t>RI.2.1, RI.2.2, RI.2.3, RI.2.4, RI.2.6, RI.2.8, RI.2.9, RI.2.10</w:t>
            </w:r>
          </w:p>
        </w:tc>
      </w:tr>
      <w:tr w:rsidR="00555924" w:rsidRPr="00555924" w:rsidTr="00D86381">
        <w:trPr>
          <w:trHeight w:val="1007"/>
        </w:trPr>
        <w:tc>
          <w:tcPr>
            <w:tcW w:w="1170" w:type="dxa"/>
            <w:vMerge/>
            <w:shd w:val="clear" w:color="auto" w:fill="D9D9D9" w:themeFill="background1" w:themeFillShade="D9"/>
          </w:tcPr>
          <w:p w:rsidR="008621E4" w:rsidRPr="00555924" w:rsidRDefault="008621E4" w:rsidP="00CC00ED">
            <w:pPr>
              <w:spacing w:after="120"/>
              <w:contextualSpacing/>
              <w:rPr>
                <w:b/>
              </w:rPr>
            </w:pPr>
          </w:p>
        </w:tc>
        <w:tc>
          <w:tcPr>
            <w:tcW w:w="2520" w:type="dxa"/>
            <w:vMerge/>
          </w:tcPr>
          <w:p w:rsidR="008621E4" w:rsidRPr="00555924" w:rsidRDefault="008621E4" w:rsidP="00CC00ED">
            <w:pPr>
              <w:spacing w:after="120"/>
              <w:contextualSpacing/>
              <w:rPr>
                <w:b/>
              </w:rPr>
            </w:pPr>
          </w:p>
        </w:tc>
        <w:tc>
          <w:tcPr>
            <w:tcW w:w="2610" w:type="dxa"/>
            <w:vMerge/>
          </w:tcPr>
          <w:p w:rsidR="008621E4" w:rsidRPr="00555924" w:rsidRDefault="008621E4" w:rsidP="00CC00ED">
            <w:pPr>
              <w:spacing w:after="120"/>
              <w:contextualSpacing/>
              <w:rPr>
                <w:b/>
              </w:rPr>
            </w:pPr>
          </w:p>
        </w:tc>
        <w:tc>
          <w:tcPr>
            <w:tcW w:w="5400" w:type="dxa"/>
            <w:vMerge/>
          </w:tcPr>
          <w:p w:rsidR="008621E4" w:rsidRPr="00555924" w:rsidRDefault="008621E4" w:rsidP="00CC00ED">
            <w:pPr>
              <w:spacing w:after="120"/>
              <w:rPr>
                <w:b/>
              </w:rPr>
            </w:pPr>
          </w:p>
        </w:tc>
        <w:tc>
          <w:tcPr>
            <w:tcW w:w="2880" w:type="dxa"/>
          </w:tcPr>
          <w:p w:rsidR="008621E4" w:rsidRPr="00555924" w:rsidRDefault="006C22BC" w:rsidP="00CC00ED">
            <w:pPr>
              <w:spacing w:after="120"/>
              <w:rPr>
                <w:b/>
              </w:rPr>
            </w:pPr>
            <w:r>
              <w:rPr>
                <w:b/>
              </w:rPr>
              <w:t xml:space="preserve">Reading Standards: </w:t>
            </w:r>
            <w:r w:rsidRPr="000D39D5">
              <w:rPr>
                <w:b/>
              </w:rPr>
              <w:t>Foundational Skills</w:t>
            </w:r>
            <w:r>
              <w:rPr>
                <w:b/>
              </w:rPr>
              <w:t xml:space="preserve"> </w:t>
            </w:r>
            <w:r w:rsidRPr="00D243D5">
              <w:rPr>
                <w:rStyle w:val="FootnoteReference"/>
                <w:b/>
                <w:sz w:val="24"/>
                <w:szCs w:val="24"/>
              </w:rPr>
              <w:footnoteReference w:id="5"/>
            </w:r>
          </w:p>
          <w:p w:rsidR="008621E4" w:rsidRPr="00555924" w:rsidRDefault="008621E4" w:rsidP="00E06B42">
            <w:r w:rsidRPr="00555924">
              <w:t>RF.2.3c-e; RF.2.4a-c</w:t>
            </w:r>
          </w:p>
        </w:tc>
      </w:tr>
      <w:tr w:rsidR="00555924" w:rsidRPr="00555924" w:rsidTr="00D86381">
        <w:trPr>
          <w:trHeight w:val="638"/>
        </w:trPr>
        <w:tc>
          <w:tcPr>
            <w:tcW w:w="1170" w:type="dxa"/>
            <w:vMerge/>
            <w:shd w:val="clear" w:color="auto" w:fill="D9D9D9" w:themeFill="background1" w:themeFillShade="D9"/>
          </w:tcPr>
          <w:p w:rsidR="008621E4" w:rsidRPr="00555924" w:rsidRDefault="008621E4" w:rsidP="00CC00ED">
            <w:pPr>
              <w:spacing w:after="120"/>
              <w:contextualSpacing/>
              <w:rPr>
                <w:b/>
              </w:rPr>
            </w:pPr>
          </w:p>
        </w:tc>
        <w:tc>
          <w:tcPr>
            <w:tcW w:w="2520" w:type="dxa"/>
            <w:vMerge/>
          </w:tcPr>
          <w:p w:rsidR="008621E4" w:rsidRPr="00555924" w:rsidRDefault="008621E4" w:rsidP="008621E4">
            <w:pPr>
              <w:spacing w:after="120"/>
              <w:rPr>
                <w:b/>
              </w:rPr>
            </w:pPr>
          </w:p>
        </w:tc>
        <w:tc>
          <w:tcPr>
            <w:tcW w:w="2610" w:type="dxa"/>
            <w:vMerge/>
          </w:tcPr>
          <w:p w:rsidR="008621E4" w:rsidRPr="00555924" w:rsidRDefault="008621E4" w:rsidP="00CC00ED">
            <w:pPr>
              <w:spacing w:after="120"/>
              <w:contextualSpacing/>
              <w:rPr>
                <w:b/>
              </w:rPr>
            </w:pPr>
          </w:p>
        </w:tc>
        <w:tc>
          <w:tcPr>
            <w:tcW w:w="5400" w:type="dxa"/>
            <w:vMerge w:val="restart"/>
          </w:tcPr>
          <w:p w:rsidR="008621E4" w:rsidRPr="00555924" w:rsidRDefault="008621E4" w:rsidP="00CC00ED">
            <w:pPr>
              <w:spacing w:after="120"/>
              <w:rPr>
                <w:b/>
              </w:rPr>
            </w:pPr>
            <w:r w:rsidRPr="00555924">
              <w:rPr>
                <w:b/>
              </w:rPr>
              <w:t>Sample Shared Research and Writing</w:t>
            </w:r>
          </w:p>
          <w:p w:rsidR="008621E4" w:rsidRPr="00555924" w:rsidRDefault="008621E4" w:rsidP="00CC00ED">
            <w:pPr>
              <w:spacing w:before="120"/>
            </w:pPr>
            <w:r w:rsidRPr="00555924">
              <w:t xml:space="preserve">Students investigate famous Americans through structured independent reading of biographies that fall within or slightly above (for advanced readers) the </w:t>
            </w:r>
            <w:r w:rsidR="00D86381">
              <w:t xml:space="preserve">2-3 </w:t>
            </w:r>
            <w:r w:rsidRPr="00555924">
              <w:t>grade band. Have students complete tasks (individually or in groups based on the person studied) with their texts including writing a report explaining why the individual is important to study. Sample texts:</w:t>
            </w:r>
          </w:p>
          <w:p w:rsidR="008621E4" w:rsidRPr="00555924" w:rsidRDefault="008621E4" w:rsidP="00C95556">
            <w:pPr>
              <w:pStyle w:val="ListParagraph"/>
              <w:numPr>
                <w:ilvl w:val="0"/>
                <w:numId w:val="13"/>
              </w:numPr>
              <w:ind w:left="432" w:hanging="274"/>
              <w:contextualSpacing w:val="0"/>
              <w:rPr>
                <w:sz w:val="20"/>
                <w:szCs w:val="20"/>
              </w:rPr>
            </w:pPr>
            <w:r w:rsidRPr="00555924">
              <w:rPr>
                <w:i/>
                <w:sz w:val="20"/>
                <w:szCs w:val="20"/>
              </w:rPr>
              <w:t>George Washington Carver: Teacher, Scientist, and Inventor</w:t>
            </w:r>
            <w:r w:rsidRPr="00555924">
              <w:rPr>
                <w:sz w:val="20"/>
                <w:szCs w:val="20"/>
              </w:rPr>
              <w:t>, Lori Mortensen</w:t>
            </w:r>
          </w:p>
          <w:p w:rsidR="008621E4" w:rsidRPr="00555924" w:rsidRDefault="008621E4" w:rsidP="00C95556">
            <w:pPr>
              <w:pStyle w:val="ListParagraph"/>
              <w:numPr>
                <w:ilvl w:val="0"/>
                <w:numId w:val="13"/>
              </w:numPr>
              <w:ind w:left="432" w:hanging="274"/>
              <w:contextualSpacing w:val="0"/>
              <w:rPr>
                <w:sz w:val="20"/>
                <w:szCs w:val="20"/>
              </w:rPr>
            </w:pPr>
            <w:r w:rsidRPr="00555924">
              <w:rPr>
                <w:i/>
                <w:sz w:val="20"/>
                <w:szCs w:val="20"/>
              </w:rPr>
              <w:t>Pocahontas</w:t>
            </w:r>
            <w:r w:rsidRPr="00555924">
              <w:rPr>
                <w:sz w:val="20"/>
                <w:szCs w:val="20"/>
              </w:rPr>
              <w:t>, Shannon Zemlicka</w:t>
            </w:r>
          </w:p>
          <w:p w:rsidR="008621E4" w:rsidRPr="00555924" w:rsidRDefault="008621E4" w:rsidP="00C95556">
            <w:pPr>
              <w:pStyle w:val="ListParagraph"/>
              <w:numPr>
                <w:ilvl w:val="0"/>
                <w:numId w:val="13"/>
              </w:numPr>
              <w:ind w:left="432" w:hanging="274"/>
              <w:contextualSpacing w:val="0"/>
              <w:rPr>
                <w:sz w:val="20"/>
                <w:szCs w:val="20"/>
              </w:rPr>
            </w:pPr>
            <w:r w:rsidRPr="00555924">
              <w:rPr>
                <w:i/>
                <w:sz w:val="20"/>
                <w:szCs w:val="20"/>
              </w:rPr>
              <w:t>Jackie Robinson: Baseball’s Great Pioneer</w:t>
            </w:r>
            <w:r w:rsidRPr="00555924">
              <w:rPr>
                <w:sz w:val="20"/>
                <w:szCs w:val="20"/>
              </w:rPr>
              <w:t>, Jason Glaser</w:t>
            </w:r>
          </w:p>
          <w:p w:rsidR="00555924" w:rsidRPr="00555924" w:rsidRDefault="00555924" w:rsidP="00555924">
            <w:pPr>
              <w:pStyle w:val="ListParagraph"/>
              <w:numPr>
                <w:ilvl w:val="0"/>
                <w:numId w:val="13"/>
              </w:numPr>
              <w:ind w:left="432" w:hanging="274"/>
              <w:contextualSpacing w:val="0"/>
              <w:rPr>
                <w:sz w:val="20"/>
                <w:szCs w:val="20"/>
              </w:rPr>
            </w:pPr>
            <w:r w:rsidRPr="00555924">
              <w:rPr>
                <w:i/>
                <w:sz w:val="20"/>
                <w:szCs w:val="20"/>
              </w:rPr>
              <w:t>Helen Keller: Courageous Advocate</w:t>
            </w:r>
            <w:r w:rsidRPr="00555924">
              <w:rPr>
                <w:sz w:val="20"/>
                <w:szCs w:val="20"/>
              </w:rPr>
              <w:t>, Scott Welvaert</w:t>
            </w:r>
          </w:p>
          <w:p w:rsidR="008621E4" w:rsidRPr="00555924" w:rsidRDefault="008621E4" w:rsidP="00C95556">
            <w:pPr>
              <w:pStyle w:val="ListParagraph"/>
              <w:numPr>
                <w:ilvl w:val="0"/>
                <w:numId w:val="13"/>
              </w:numPr>
              <w:ind w:left="432" w:hanging="274"/>
              <w:contextualSpacing w:val="0"/>
              <w:rPr>
                <w:sz w:val="20"/>
                <w:szCs w:val="20"/>
              </w:rPr>
            </w:pPr>
            <w:r w:rsidRPr="00555924">
              <w:rPr>
                <w:i/>
                <w:sz w:val="20"/>
                <w:szCs w:val="20"/>
              </w:rPr>
              <w:t>What’s the Big Idea, Ben Franklin?</w:t>
            </w:r>
            <w:r w:rsidRPr="00555924">
              <w:rPr>
                <w:sz w:val="20"/>
                <w:szCs w:val="20"/>
              </w:rPr>
              <w:t xml:space="preserve"> by Jean Fritz (advanced readers)</w:t>
            </w:r>
          </w:p>
          <w:p w:rsidR="008621E4" w:rsidRPr="00555924" w:rsidRDefault="008621E4" w:rsidP="00C95556">
            <w:pPr>
              <w:pStyle w:val="ListParagraph"/>
              <w:numPr>
                <w:ilvl w:val="0"/>
                <w:numId w:val="13"/>
              </w:numPr>
              <w:ind w:left="432" w:hanging="274"/>
              <w:contextualSpacing w:val="0"/>
            </w:pPr>
            <w:r w:rsidRPr="00555924">
              <w:rPr>
                <w:i/>
                <w:sz w:val="20"/>
                <w:szCs w:val="20"/>
              </w:rPr>
              <w:t>Vision of Beauty: The Story of Sarah Breedlove Walker</w:t>
            </w:r>
            <w:r w:rsidRPr="00555924">
              <w:rPr>
                <w:sz w:val="20"/>
                <w:szCs w:val="20"/>
              </w:rPr>
              <w:t xml:space="preserve"> by Kathryn Lasky (advanced readers)</w:t>
            </w:r>
          </w:p>
        </w:tc>
        <w:tc>
          <w:tcPr>
            <w:tcW w:w="2880" w:type="dxa"/>
          </w:tcPr>
          <w:p w:rsidR="008621E4" w:rsidRPr="00555924" w:rsidRDefault="008621E4" w:rsidP="00CC00ED">
            <w:pPr>
              <w:spacing w:after="120"/>
              <w:rPr>
                <w:b/>
              </w:rPr>
            </w:pPr>
            <w:r w:rsidRPr="00555924">
              <w:rPr>
                <w:b/>
              </w:rPr>
              <w:t xml:space="preserve">Writing </w:t>
            </w:r>
          </w:p>
          <w:p w:rsidR="008621E4" w:rsidRPr="00555924" w:rsidRDefault="008621E4" w:rsidP="00CC00ED">
            <w:r w:rsidRPr="00555924">
              <w:t>W.2.1, W.2.2, W.2.5, W.2.6, W.2.7, W.2.8</w:t>
            </w:r>
          </w:p>
        </w:tc>
      </w:tr>
      <w:tr w:rsidR="00555924" w:rsidRPr="00555924" w:rsidTr="00D86381">
        <w:trPr>
          <w:trHeight w:val="620"/>
        </w:trPr>
        <w:tc>
          <w:tcPr>
            <w:tcW w:w="1170" w:type="dxa"/>
            <w:vMerge/>
            <w:shd w:val="clear" w:color="auto" w:fill="D9D9D9" w:themeFill="background1" w:themeFillShade="D9"/>
          </w:tcPr>
          <w:p w:rsidR="008621E4" w:rsidRPr="00555924" w:rsidRDefault="008621E4" w:rsidP="00CC00ED">
            <w:pPr>
              <w:spacing w:after="120"/>
              <w:rPr>
                <w:b/>
              </w:rPr>
            </w:pPr>
          </w:p>
        </w:tc>
        <w:tc>
          <w:tcPr>
            <w:tcW w:w="2520" w:type="dxa"/>
            <w:vMerge w:val="restart"/>
          </w:tcPr>
          <w:p w:rsidR="008621E4" w:rsidRPr="00555924" w:rsidRDefault="008621E4" w:rsidP="008621E4">
            <w:pPr>
              <w:spacing w:after="120"/>
              <w:rPr>
                <w:b/>
              </w:rPr>
            </w:pPr>
            <w:r w:rsidRPr="00555924">
              <w:rPr>
                <w:b/>
              </w:rPr>
              <w:t>Text Complexity Rationale</w:t>
            </w:r>
          </w:p>
          <w:p w:rsidR="008621E4" w:rsidRPr="00555924" w:rsidRDefault="008621E4" w:rsidP="00D86381">
            <w:pPr>
              <w:spacing w:after="120"/>
              <w:rPr>
                <w:b/>
              </w:rPr>
            </w:pPr>
            <w:r w:rsidRPr="00555924">
              <w:t xml:space="preserve">The texts range from the </w:t>
            </w:r>
            <w:r w:rsidR="00D86381">
              <w:t xml:space="preserve">2-3 </w:t>
            </w:r>
            <w:r w:rsidRPr="00555924">
              <w:t xml:space="preserve">grade band to the </w:t>
            </w:r>
            <w:r w:rsidR="00D86381">
              <w:t xml:space="preserve">4-5 </w:t>
            </w:r>
            <w:r w:rsidRPr="00555924">
              <w:t>grade</w:t>
            </w:r>
            <w:r w:rsidR="00D86381">
              <w:t xml:space="preserve"> </w:t>
            </w:r>
            <w:r w:rsidRPr="00555924">
              <w:t>band. The more complex texts are labeled as read-aloud texts for whole-group instruction, as students will need additional direct supp</w:t>
            </w:r>
            <w:r w:rsidR="00D86381">
              <w:t xml:space="preserve">ort from the teacher in understanding </w:t>
            </w:r>
            <w:r w:rsidRPr="00555924">
              <w:t>those texts.</w:t>
            </w:r>
          </w:p>
        </w:tc>
        <w:tc>
          <w:tcPr>
            <w:tcW w:w="2610" w:type="dxa"/>
            <w:vMerge/>
          </w:tcPr>
          <w:p w:rsidR="008621E4" w:rsidRPr="00555924" w:rsidRDefault="008621E4" w:rsidP="00CC00ED">
            <w:pPr>
              <w:contextualSpacing/>
              <w:rPr>
                <w:b/>
              </w:rPr>
            </w:pPr>
          </w:p>
        </w:tc>
        <w:tc>
          <w:tcPr>
            <w:tcW w:w="5400" w:type="dxa"/>
            <w:vMerge/>
          </w:tcPr>
          <w:p w:rsidR="008621E4" w:rsidRPr="00555924" w:rsidRDefault="008621E4" w:rsidP="00CC00ED"/>
        </w:tc>
        <w:tc>
          <w:tcPr>
            <w:tcW w:w="2880" w:type="dxa"/>
          </w:tcPr>
          <w:p w:rsidR="008621E4" w:rsidRPr="00555924" w:rsidRDefault="008621E4" w:rsidP="00CC00ED">
            <w:pPr>
              <w:spacing w:after="120"/>
              <w:rPr>
                <w:b/>
              </w:rPr>
            </w:pPr>
            <w:r w:rsidRPr="00555924">
              <w:rPr>
                <w:b/>
              </w:rPr>
              <w:t xml:space="preserve">Speaking and Listening </w:t>
            </w:r>
          </w:p>
          <w:p w:rsidR="008621E4" w:rsidRPr="00555924" w:rsidRDefault="008621E4" w:rsidP="00CC00ED">
            <w:r w:rsidRPr="00555924">
              <w:t>SL.2.1a-c, SL.2.2, SL.2.3, SL.2.4, SL.2.5, SL.2.6</w:t>
            </w:r>
          </w:p>
        </w:tc>
      </w:tr>
      <w:tr w:rsidR="00555924" w:rsidRPr="00555924" w:rsidTr="00D86381">
        <w:trPr>
          <w:trHeight w:val="2798"/>
        </w:trPr>
        <w:tc>
          <w:tcPr>
            <w:tcW w:w="1170" w:type="dxa"/>
            <w:vMerge/>
            <w:shd w:val="clear" w:color="auto" w:fill="D9D9D9" w:themeFill="background1" w:themeFillShade="D9"/>
          </w:tcPr>
          <w:p w:rsidR="008621E4" w:rsidRPr="00555924" w:rsidRDefault="008621E4" w:rsidP="00CC00ED">
            <w:pPr>
              <w:spacing w:after="120"/>
              <w:rPr>
                <w:b/>
              </w:rPr>
            </w:pPr>
          </w:p>
        </w:tc>
        <w:tc>
          <w:tcPr>
            <w:tcW w:w="2520" w:type="dxa"/>
            <w:vMerge/>
          </w:tcPr>
          <w:p w:rsidR="008621E4" w:rsidRPr="00555924" w:rsidRDefault="008621E4" w:rsidP="00CC00ED">
            <w:pPr>
              <w:spacing w:after="120"/>
              <w:rPr>
                <w:b/>
              </w:rPr>
            </w:pPr>
          </w:p>
        </w:tc>
        <w:tc>
          <w:tcPr>
            <w:tcW w:w="2610" w:type="dxa"/>
            <w:vMerge/>
          </w:tcPr>
          <w:p w:rsidR="008621E4" w:rsidRPr="00555924" w:rsidRDefault="008621E4" w:rsidP="00CC00ED">
            <w:pPr>
              <w:contextualSpacing/>
              <w:rPr>
                <w:b/>
              </w:rPr>
            </w:pPr>
          </w:p>
        </w:tc>
        <w:tc>
          <w:tcPr>
            <w:tcW w:w="5400" w:type="dxa"/>
            <w:vMerge/>
          </w:tcPr>
          <w:p w:rsidR="008621E4" w:rsidRPr="00555924" w:rsidRDefault="008621E4" w:rsidP="00CC00ED">
            <w:pPr>
              <w:rPr>
                <w:b/>
              </w:rPr>
            </w:pPr>
          </w:p>
        </w:tc>
        <w:tc>
          <w:tcPr>
            <w:tcW w:w="2880" w:type="dxa"/>
          </w:tcPr>
          <w:p w:rsidR="008621E4" w:rsidRPr="00555924" w:rsidRDefault="008621E4" w:rsidP="00CC00ED">
            <w:pPr>
              <w:spacing w:after="120"/>
              <w:rPr>
                <w:b/>
              </w:rPr>
            </w:pPr>
            <w:r w:rsidRPr="00555924">
              <w:rPr>
                <w:b/>
              </w:rPr>
              <w:t>Language</w:t>
            </w:r>
          </w:p>
          <w:p w:rsidR="008621E4" w:rsidRPr="00555924" w:rsidRDefault="00ED6D88" w:rsidP="00ED6D88">
            <w:r>
              <w:t>L.2.1d-f</w:t>
            </w:r>
            <w:r w:rsidR="008621E4" w:rsidRPr="00555924">
              <w:t>; L.2.2c-e; L.2.3a; L.2.4a-c, e; L.2.5a; L.2.6</w:t>
            </w:r>
          </w:p>
        </w:tc>
      </w:tr>
      <w:tr w:rsidR="00555924" w:rsidRPr="00555924" w:rsidTr="005F4B34">
        <w:trPr>
          <w:trHeight w:val="260"/>
        </w:trPr>
        <w:tc>
          <w:tcPr>
            <w:tcW w:w="1170" w:type="dxa"/>
            <w:vMerge/>
            <w:shd w:val="clear" w:color="auto" w:fill="D9D9D9" w:themeFill="background1" w:themeFillShade="D9"/>
          </w:tcPr>
          <w:p w:rsidR="008621E4" w:rsidRPr="00555924" w:rsidRDefault="008621E4" w:rsidP="00CC00ED">
            <w:pPr>
              <w:spacing w:after="120"/>
              <w:rPr>
                <w:b/>
              </w:rPr>
            </w:pPr>
          </w:p>
        </w:tc>
        <w:tc>
          <w:tcPr>
            <w:tcW w:w="13410" w:type="dxa"/>
            <w:gridSpan w:val="4"/>
          </w:tcPr>
          <w:p w:rsidR="008621E4" w:rsidRPr="00555924" w:rsidRDefault="008621E4" w:rsidP="00CC00ED">
            <w:pPr>
              <w:spacing w:after="120"/>
              <w:rPr>
                <w:b/>
              </w:rPr>
            </w:pPr>
            <w:r w:rsidRPr="00555924">
              <w:rPr>
                <w:b/>
              </w:rPr>
              <w:t>Possible Teacher Resources</w:t>
            </w:r>
          </w:p>
          <w:p w:rsidR="008621E4" w:rsidRPr="00555924" w:rsidRDefault="008621E4" w:rsidP="00C95556">
            <w:pPr>
              <w:pStyle w:val="ListParagraph"/>
              <w:numPr>
                <w:ilvl w:val="0"/>
                <w:numId w:val="15"/>
              </w:numPr>
              <w:ind w:left="342" w:hanging="288"/>
              <w:contextualSpacing w:val="0"/>
            </w:pPr>
            <w:r w:rsidRPr="00555924">
              <w:t>“</w:t>
            </w:r>
            <w:hyperlink r:id="rId29" w:history="1">
              <w:r w:rsidRPr="00555924">
                <w:rPr>
                  <w:rStyle w:val="Hyperlink"/>
                  <w:color w:val="auto"/>
                </w:rPr>
                <w:t>They Made America</w:t>
              </w:r>
            </w:hyperlink>
            <w:r w:rsidRPr="00555924">
              <w:t>” (</w:t>
            </w:r>
            <w:r w:rsidRPr="00555924">
              <w:rPr>
                <w:i/>
              </w:rPr>
              <w:t>PBS.org</w:t>
            </w:r>
            <w:r w:rsidRPr="00555924">
              <w:t xml:space="preserve">) and patents of American inventors, such as </w:t>
            </w:r>
            <w:hyperlink r:id="rId30" w:anchor="sclient=psy-ab&amp;hl=en&amp;tbo=d&amp;tbm=pts&amp;q=henry+ford+motor+company&amp;oq=henry+ford+motor+company&amp;gs_l=serp.3..0l2j0i30l2.18377.20920.2.21107.14.0.13.1.6.0.0.0..0.0...0.0...1c.1.TCUnyGse9IY&amp;pbx=1&amp;bav=on.2,or.r_gc.r_pw.&amp;bvm=bv.41248874,d.aWM&amp;fp=368fd8b8b54a142f&amp;bi" w:history="1">
              <w:r w:rsidRPr="00555924">
                <w:rPr>
                  <w:rStyle w:val="Hyperlink"/>
                  <w:color w:val="auto"/>
                </w:rPr>
                <w:t>Henry Ford</w:t>
              </w:r>
            </w:hyperlink>
            <w:r w:rsidRPr="00555924">
              <w:t xml:space="preserve">, </w:t>
            </w:r>
            <w:hyperlink r:id="rId31" w:anchor="hl=en&amp;gs_rn=1&amp;gs_ri=serp&amp;pq=henry%20ford&amp;cp=8&amp;gs_id=p&amp;xhr=t&amp;q=wright+brothers&amp;es_nrs=true&amp;pf=p&amp;tbo=d&amp;tbm=pts&amp;sclient=psy-ab&amp;oq=wright+b&amp;gs_l=&amp;pbx=1&amp;bav=on.2,or.r_gc.r_pw.r_qf.&amp;bvm=bv.41248874,d.aWM&amp;fp=d2c0335e9a9599b3&amp;biw=1280&amp;bih=822" w:history="1">
              <w:r w:rsidRPr="00555924">
                <w:rPr>
                  <w:rStyle w:val="Hyperlink"/>
                  <w:color w:val="auto"/>
                </w:rPr>
                <w:t>The Wright Brothers</w:t>
              </w:r>
            </w:hyperlink>
            <w:r w:rsidRPr="00555924">
              <w:t xml:space="preserve">, </w:t>
            </w:r>
            <w:hyperlink r:id="rId32" w:anchor="hl=en&amp;gs_rn=1&amp;gs_ri=serp&amp;pq=thomas%20a.%20edison&amp;cp=8&amp;gs_id=o&amp;xhr=t&amp;q=thomas+alva+edison&amp;es_nrs=true&amp;pf=p&amp;tbo=d&amp;tbm=pts&amp;sclient=psy-ab&amp;oq=thomas+aedison&amp;gs_l=&amp;pbx=1&amp;bav=on.2,or.r_gc.r_pw.r_qf.&amp;fp=d2c0335e9a9599b3&amp;biw=1280&amp;bih=822&amp;bs=1" w:history="1">
              <w:r w:rsidRPr="00555924">
                <w:rPr>
                  <w:rStyle w:val="Hyperlink"/>
                  <w:color w:val="auto"/>
                </w:rPr>
                <w:t>Thomas Edison</w:t>
              </w:r>
            </w:hyperlink>
          </w:p>
          <w:p w:rsidR="008621E4" w:rsidRPr="00555924" w:rsidRDefault="008621E4" w:rsidP="00C95556">
            <w:pPr>
              <w:pStyle w:val="ListParagraph"/>
              <w:numPr>
                <w:ilvl w:val="0"/>
                <w:numId w:val="11"/>
              </w:numPr>
              <w:ind w:left="342" w:hanging="270"/>
              <w:rPr>
                <w:rStyle w:val="Hyperlink"/>
                <w:color w:val="auto"/>
              </w:rPr>
            </w:pPr>
            <w:r w:rsidRPr="00555924">
              <w:t xml:space="preserve">Martin Luther King, Jr. video and activities link -  </w:t>
            </w:r>
            <w:hyperlink r:id="rId33" w:history="1">
              <w:r w:rsidRPr="00555924">
                <w:rPr>
                  <w:rStyle w:val="Hyperlink"/>
                  <w:color w:val="auto"/>
                </w:rPr>
                <w:t>http://www.teachervision.fen.com/martin-luther-king-jr/video/73143.html</w:t>
              </w:r>
            </w:hyperlink>
          </w:p>
          <w:p w:rsidR="008621E4" w:rsidRPr="00555924" w:rsidRDefault="008621E4" w:rsidP="00C95556">
            <w:pPr>
              <w:pStyle w:val="ListParagraph"/>
              <w:numPr>
                <w:ilvl w:val="0"/>
                <w:numId w:val="11"/>
              </w:numPr>
              <w:ind w:left="342" w:hanging="270"/>
            </w:pPr>
            <w:r w:rsidRPr="00555924">
              <w:rPr>
                <w:rFonts w:cs="Arial"/>
                <w:b/>
                <w:bCs/>
                <w:lang w:val="en"/>
              </w:rPr>
              <w:t>"</w:t>
            </w:r>
            <w:r w:rsidRPr="00555924">
              <w:rPr>
                <w:rFonts w:cs="Arial"/>
                <w:lang w:val="en"/>
              </w:rPr>
              <w:t>Our single greatest asset is the innovation and the ingenuity and creativity of the American people."</w:t>
            </w:r>
            <w:r w:rsidRPr="00555924">
              <w:t xml:space="preserve"> President Barack Obama</w:t>
            </w:r>
          </w:p>
        </w:tc>
      </w:tr>
    </w:tbl>
    <w:p w:rsidR="00C95556" w:rsidRDefault="00C56990" w:rsidP="00C95556">
      <w:pPr>
        <w:jc w:val="center"/>
        <w:rPr>
          <w:rFonts w:cs="Cambria"/>
          <w:b/>
          <w:color w:val="000000" w:themeColor="text1"/>
          <w:sz w:val="32"/>
          <w:szCs w:val="32"/>
        </w:rPr>
      </w:pPr>
      <w:bookmarkStart w:id="3" w:name="Cinderella"/>
      <w:bookmarkEnd w:id="3"/>
      <w:r>
        <w:rPr>
          <w:rFonts w:cs="Cambria"/>
          <w:b/>
          <w:color w:val="000000" w:themeColor="text1"/>
          <w:sz w:val="32"/>
          <w:szCs w:val="32"/>
        </w:rPr>
        <w:lastRenderedPageBreak/>
        <w:t xml:space="preserve">English Language Arts/Literacy Grade 2 </w:t>
      </w:r>
      <w:r w:rsidR="00C95556">
        <w:rPr>
          <w:rFonts w:cs="Cambria"/>
          <w:b/>
          <w:color w:val="000000" w:themeColor="text1"/>
          <w:sz w:val="32"/>
          <w:szCs w:val="32"/>
        </w:rPr>
        <w:t>Year-in-Detail, cont. (SAMPLE)</w:t>
      </w:r>
    </w:p>
    <w:tbl>
      <w:tblPr>
        <w:tblStyle w:val="TableGrid"/>
        <w:tblW w:w="14580" w:type="dxa"/>
        <w:tblInd w:w="108" w:type="dxa"/>
        <w:tblLayout w:type="fixed"/>
        <w:tblLook w:val="04A0" w:firstRow="1" w:lastRow="0" w:firstColumn="1" w:lastColumn="0" w:noHBand="0" w:noVBand="1"/>
      </w:tblPr>
      <w:tblGrid>
        <w:gridCol w:w="1170"/>
        <w:gridCol w:w="3330"/>
        <w:gridCol w:w="3060"/>
        <w:gridCol w:w="4230"/>
        <w:gridCol w:w="2790"/>
      </w:tblGrid>
      <w:tr w:rsidR="00917F4A" w:rsidRPr="00555924" w:rsidTr="00C43D01">
        <w:trPr>
          <w:trHeight w:val="395"/>
        </w:trPr>
        <w:tc>
          <w:tcPr>
            <w:tcW w:w="1170" w:type="dxa"/>
            <w:vMerge w:val="restart"/>
            <w:shd w:val="clear" w:color="auto" w:fill="D9D9D9" w:themeFill="background1" w:themeFillShade="D9"/>
          </w:tcPr>
          <w:p w:rsidR="00917F4A" w:rsidRPr="00555924" w:rsidRDefault="006876B5" w:rsidP="00CC00ED">
            <w:pPr>
              <w:spacing w:after="120"/>
              <w:contextualSpacing/>
              <w:rPr>
                <w:b/>
              </w:rPr>
            </w:pPr>
            <w:hyperlink r:id="rId34" w:history="1">
              <w:r w:rsidR="00917F4A" w:rsidRPr="00FB4A4B">
                <w:rPr>
                  <w:rStyle w:val="Hyperlink"/>
                  <w:b/>
                </w:rPr>
                <w:t>Unit Three</w:t>
              </w:r>
            </w:hyperlink>
          </w:p>
        </w:tc>
        <w:tc>
          <w:tcPr>
            <w:tcW w:w="3330" w:type="dxa"/>
            <w:vMerge w:val="restart"/>
          </w:tcPr>
          <w:p w:rsidR="00917F4A" w:rsidRPr="00555924" w:rsidRDefault="00917F4A" w:rsidP="00CC00ED">
            <w:pPr>
              <w:spacing w:after="120"/>
              <w:rPr>
                <w:b/>
              </w:rPr>
            </w:pPr>
            <w:r w:rsidRPr="00555924">
              <w:rPr>
                <w:b/>
              </w:rPr>
              <w:t>Read-Aloud Anchor Text</w:t>
            </w:r>
          </w:p>
          <w:p w:rsidR="00917F4A" w:rsidRPr="00555924" w:rsidRDefault="00917F4A" w:rsidP="00CC00ED">
            <w:pPr>
              <w:spacing w:after="120"/>
              <w:contextualSpacing/>
              <w:rPr>
                <w:b/>
              </w:rPr>
            </w:pPr>
            <w:r w:rsidRPr="00555924">
              <w:rPr>
                <w:i/>
              </w:rPr>
              <w:t>Cinderella</w:t>
            </w:r>
            <w:r w:rsidR="0086472D">
              <w:t xml:space="preserve">, Marcia Brown or </w:t>
            </w:r>
            <w:hyperlink r:id="rId35" w:history="1">
              <w:r w:rsidR="0086472D" w:rsidRPr="0086472D">
                <w:rPr>
                  <w:rStyle w:val="Hyperlink"/>
                </w:rPr>
                <w:t>online version</w:t>
              </w:r>
            </w:hyperlink>
            <w:r w:rsidR="0086472D">
              <w:t xml:space="preserve"> </w:t>
            </w:r>
            <w:r w:rsidRPr="00555924">
              <w:t>(Literary)</w:t>
            </w:r>
          </w:p>
        </w:tc>
        <w:tc>
          <w:tcPr>
            <w:tcW w:w="3060" w:type="dxa"/>
            <w:vMerge w:val="restart"/>
          </w:tcPr>
          <w:p w:rsidR="00917F4A" w:rsidRPr="00555924" w:rsidRDefault="00917F4A" w:rsidP="00CC00ED">
            <w:pPr>
              <w:spacing w:after="120"/>
              <w:rPr>
                <w:b/>
              </w:rPr>
            </w:pPr>
            <w:r w:rsidRPr="00555924">
              <w:rPr>
                <w:b/>
              </w:rPr>
              <w:t>Related Texts</w:t>
            </w:r>
          </w:p>
          <w:p w:rsidR="00917F4A" w:rsidRPr="00555924" w:rsidRDefault="00917F4A" w:rsidP="00CC00ED">
            <w:pPr>
              <w:contextualSpacing/>
              <w:rPr>
                <w:i/>
                <w:u w:val="single"/>
              </w:rPr>
            </w:pPr>
            <w:r w:rsidRPr="00555924">
              <w:rPr>
                <w:i/>
                <w:u w:val="single"/>
              </w:rPr>
              <w:t>Literary Texts</w:t>
            </w:r>
          </w:p>
          <w:p w:rsidR="00917F4A" w:rsidRPr="00555924" w:rsidRDefault="00917F4A" w:rsidP="00C95556">
            <w:pPr>
              <w:numPr>
                <w:ilvl w:val="0"/>
                <w:numId w:val="12"/>
              </w:numPr>
              <w:autoSpaceDE w:val="0"/>
              <w:autoSpaceDN w:val="0"/>
              <w:adjustRightInd w:val="0"/>
              <w:ind w:left="342" w:hanging="270"/>
            </w:pPr>
            <w:r w:rsidRPr="00555924">
              <w:rPr>
                <w:i/>
                <w:iCs/>
              </w:rPr>
              <w:t>The Way Meat Loves Salt</w:t>
            </w:r>
            <w:r w:rsidRPr="00555924">
              <w:t>, Nina Jaffe (Israel)</w:t>
            </w:r>
          </w:p>
          <w:p w:rsidR="00917F4A" w:rsidRPr="00555924" w:rsidRDefault="00917F4A" w:rsidP="00C95556">
            <w:pPr>
              <w:numPr>
                <w:ilvl w:val="0"/>
                <w:numId w:val="12"/>
              </w:numPr>
              <w:autoSpaceDE w:val="0"/>
              <w:autoSpaceDN w:val="0"/>
              <w:adjustRightInd w:val="0"/>
              <w:ind w:left="342" w:hanging="270"/>
            </w:pPr>
            <w:r w:rsidRPr="00555924">
              <w:rPr>
                <w:i/>
                <w:iCs/>
              </w:rPr>
              <w:t xml:space="preserve">The Egyptian Cinderella, </w:t>
            </w:r>
            <w:r w:rsidRPr="00555924">
              <w:t>Shirley Climo (Egypt)</w:t>
            </w:r>
          </w:p>
          <w:p w:rsidR="00917F4A" w:rsidRPr="00555924" w:rsidRDefault="00917F4A" w:rsidP="00C95556">
            <w:pPr>
              <w:numPr>
                <w:ilvl w:val="0"/>
                <w:numId w:val="12"/>
              </w:numPr>
              <w:autoSpaceDE w:val="0"/>
              <w:autoSpaceDN w:val="0"/>
              <w:adjustRightInd w:val="0"/>
              <w:ind w:left="342" w:hanging="270"/>
            </w:pPr>
            <w:r w:rsidRPr="00555924">
              <w:rPr>
                <w:i/>
                <w:iCs/>
              </w:rPr>
              <w:t>Mufaro’s Beautiful Daughters</w:t>
            </w:r>
            <w:r w:rsidRPr="00555924">
              <w:t>, John Steptoe (Africa)</w:t>
            </w:r>
          </w:p>
          <w:p w:rsidR="00917F4A" w:rsidRPr="00555924" w:rsidRDefault="00917F4A" w:rsidP="00C95556">
            <w:pPr>
              <w:numPr>
                <w:ilvl w:val="0"/>
                <w:numId w:val="12"/>
              </w:numPr>
              <w:autoSpaceDE w:val="0"/>
              <w:autoSpaceDN w:val="0"/>
              <w:adjustRightInd w:val="0"/>
              <w:ind w:left="342" w:hanging="270"/>
            </w:pPr>
            <w:r w:rsidRPr="00555924">
              <w:rPr>
                <w:i/>
                <w:iCs/>
              </w:rPr>
              <w:t>Do</w:t>
            </w:r>
            <w:r>
              <w:rPr>
                <w:i/>
                <w:iCs/>
              </w:rPr>
              <w:t>m</w:t>
            </w:r>
            <w:r w:rsidRPr="00555924">
              <w:rPr>
                <w:i/>
                <w:iCs/>
              </w:rPr>
              <w:t>itila</w:t>
            </w:r>
            <w:r w:rsidRPr="00555924">
              <w:t>, Jewell Reinhart Cobum (Mexico)</w:t>
            </w:r>
          </w:p>
          <w:p w:rsidR="00917F4A" w:rsidRPr="00555924" w:rsidRDefault="00917F4A" w:rsidP="00C95556">
            <w:pPr>
              <w:numPr>
                <w:ilvl w:val="0"/>
                <w:numId w:val="12"/>
              </w:numPr>
              <w:autoSpaceDE w:val="0"/>
              <w:autoSpaceDN w:val="0"/>
              <w:adjustRightInd w:val="0"/>
              <w:ind w:left="342" w:hanging="270"/>
            </w:pPr>
            <w:r w:rsidRPr="00555924">
              <w:rPr>
                <w:i/>
                <w:iCs/>
              </w:rPr>
              <w:t>Yeh-Shen</w:t>
            </w:r>
            <w:r w:rsidRPr="00555924">
              <w:t>, Ai-Ling Louie (China)</w:t>
            </w:r>
          </w:p>
          <w:p w:rsidR="00917F4A" w:rsidRPr="00555924" w:rsidRDefault="00917F4A" w:rsidP="00C95556">
            <w:pPr>
              <w:numPr>
                <w:ilvl w:val="0"/>
                <w:numId w:val="12"/>
              </w:numPr>
              <w:autoSpaceDE w:val="0"/>
              <w:autoSpaceDN w:val="0"/>
              <w:adjustRightInd w:val="0"/>
              <w:ind w:left="342" w:hanging="270"/>
            </w:pPr>
            <w:r w:rsidRPr="00555924">
              <w:rPr>
                <w:i/>
              </w:rPr>
              <w:t>The Turkey Girl</w:t>
            </w:r>
            <w:r w:rsidRPr="00555924">
              <w:t>, Penny Pollock (American Indian)</w:t>
            </w:r>
          </w:p>
        </w:tc>
        <w:tc>
          <w:tcPr>
            <w:tcW w:w="4230" w:type="dxa"/>
            <w:vMerge w:val="restart"/>
          </w:tcPr>
          <w:p w:rsidR="00917F4A" w:rsidRPr="00555924" w:rsidRDefault="00917F4A" w:rsidP="00CC00ED">
            <w:pPr>
              <w:spacing w:after="120"/>
              <w:rPr>
                <w:b/>
              </w:rPr>
            </w:pPr>
            <w:r w:rsidRPr="00555924">
              <w:rPr>
                <w:b/>
              </w:rPr>
              <w:t>Building Student Knowledge</w:t>
            </w:r>
          </w:p>
          <w:p w:rsidR="00917F4A" w:rsidRPr="00555924" w:rsidRDefault="00917F4A" w:rsidP="00CC00ED">
            <w:r w:rsidRPr="00555924">
              <w:t>Building on the idea that stories can teach us about positive character traits, this text set builds students’ knowledge about the universality of human stories and how comparing the different versions of similar stories provides insight into the values of different cultures. This set emphasizes similarities of human experience while also highlighting cultural differences based on environment and social and religious values. Students come to understand that customs and ceremonies are part of culture.</w:t>
            </w:r>
          </w:p>
        </w:tc>
        <w:tc>
          <w:tcPr>
            <w:tcW w:w="2790" w:type="dxa"/>
            <w:shd w:val="clear" w:color="auto" w:fill="D9D9D9" w:themeFill="background1" w:themeFillShade="D9"/>
          </w:tcPr>
          <w:p w:rsidR="00917F4A" w:rsidRPr="00555924" w:rsidRDefault="006876B5" w:rsidP="00A23C4D">
            <w:pPr>
              <w:rPr>
                <w:b/>
              </w:rPr>
            </w:pPr>
            <w:hyperlink r:id="rId36" w:history="1">
              <w:r w:rsidR="00917F4A" w:rsidRPr="00917F4A">
                <w:rPr>
                  <w:rStyle w:val="Hyperlink"/>
                  <w:b/>
                </w:rPr>
                <w:t>Possible Common Core State Standards</w:t>
              </w:r>
            </w:hyperlink>
          </w:p>
        </w:tc>
      </w:tr>
      <w:tr w:rsidR="00555924" w:rsidRPr="00555924" w:rsidTr="00C43D01">
        <w:trPr>
          <w:trHeight w:val="293"/>
        </w:trPr>
        <w:tc>
          <w:tcPr>
            <w:tcW w:w="1170" w:type="dxa"/>
            <w:vMerge/>
            <w:shd w:val="clear" w:color="auto" w:fill="D9D9D9" w:themeFill="background1" w:themeFillShade="D9"/>
          </w:tcPr>
          <w:p w:rsidR="008621E4" w:rsidRPr="00555924" w:rsidRDefault="008621E4" w:rsidP="00CC00ED">
            <w:pPr>
              <w:spacing w:after="120"/>
              <w:contextualSpacing/>
              <w:rPr>
                <w:b/>
              </w:rPr>
            </w:pPr>
          </w:p>
        </w:tc>
        <w:tc>
          <w:tcPr>
            <w:tcW w:w="3330" w:type="dxa"/>
            <w:vMerge/>
          </w:tcPr>
          <w:p w:rsidR="008621E4" w:rsidRPr="00555924" w:rsidRDefault="008621E4" w:rsidP="008621E4">
            <w:pPr>
              <w:spacing w:after="120"/>
              <w:rPr>
                <w:b/>
              </w:rPr>
            </w:pPr>
          </w:p>
        </w:tc>
        <w:tc>
          <w:tcPr>
            <w:tcW w:w="3060" w:type="dxa"/>
            <w:vMerge/>
          </w:tcPr>
          <w:p w:rsidR="008621E4" w:rsidRPr="00555924" w:rsidRDefault="008621E4" w:rsidP="00CC00ED">
            <w:pPr>
              <w:spacing w:after="120"/>
              <w:rPr>
                <w:b/>
              </w:rPr>
            </w:pPr>
          </w:p>
        </w:tc>
        <w:tc>
          <w:tcPr>
            <w:tcW w:w="4230" w:type="dxa"/>
            <w:vMerge/>
          </w:tcPr>
          <w:p w:rsidR="008621E4" w:rsidRPr="00555924" w:rsidRDefault="008621E4" w:rsidP="00CC00ED">
            <w:pPr>
              <w:rPr>
                <w:b/>
              </w:rPr>
            </w:pPr>
          </w:p>
        </w:tc>
        <w:tc>
          <w:tcPr>
            <w:tcW w:w="2790" w:type="dxa"/>
          </w:tcPr>
          <w:p w:rsidR="008621E4" w:rsidRPr="00555924" w:rsidRDefault="008621E4" w:rsidP="008621E4">
            <w:pPr>
              <w:spacing w:after="120"/>
              <w:rPr>
                <w:b/>
              </w:rPr>
            </w:pPr>
            <w:r w:rsidRPr="00555924">
              <w:rPr>
                <w:b/>
              </w:rPr>
              <w:t>Reading</w:t>
            </w:r>
          </w:p>
          <w:p w:rsidR="008621E4" w:rsidRPr="00555924" w:rsidRDefault="008621E4" w:rsidP="008621E4">
            <w:pPr>
              <w:rPr>
                <w:b/>
              </w:rPr>
            </w:pPr>
            <w:r w:rsidRPr="00555924">
              <w:t>RL.2.1, RL.2.2, RL.2.3, RL.2.5, RL.2.6, RL.2.7, RL.2.9, RL.2.10</w:t>
            </w:r>
          </w:p>
        </w:tc>
      </w:tr>
      <w:tr w:rsidR="00555924" w:rsidRPr="00555924" w:rsidTr="00C43D01">
        <w:trPr>
          <w:trHeight w:val="818"/>
        </w:trPr>
        <w:tc>
          <w:tcPr>
            <w:tcW w:w="1170" w:type="dxa"/>
            <w:vMerge/>
            <w:shd w:val="clear" w:color="auto" w:fill="D9D9D9" w:themeFill="background1" w:themeFillShade="D9"/>
          </w:tcPr>
          <w:p w:rsidR="008621E4" w:rsidRPr="00555924" w:rsidRDefault="008621E4" w:rsidP="00CC00ED">
            <w:pPr>
              <w:spacing w:after="120"/>
              <w:contextualSpacing/>
              <w:rPr>
                <w:b/>
              </w:rPr>
            </w:pPr>
          </w:p>
        </w:tc>
        <w:tc>
          <w:tcPr>
            <w:tcW w:w="3330" w:type="dxa"/>
            <w:vMerge/>
          </w:tcPr>
          <w:p w:rsidR="008621E4" w:rsidRPr="00555924" w:rsidRDefault="008621E4" w:rsidP="00CC00ED">
            <w:pPr>
              <w:spacing w:after="120"/>
              <w:rPr>
                <w:b/>
              </w:rPr>
            </w:pPr>
          </w:p>
        </w:tc>
        <w:tc>
          <w:tcPr>
            <w:tcW w:w="3060" w:type="dxa"/>
            <w:vMerge/>
          </w:tcPr>
          <w:p w:rsidR="008621E4" w:rsidRPr="00555924" w:rsidRDefault="008621E4" w:rsidP="00CC00ED">
            <w:pPr>
              <w:spacing w:after="120"/>
              <w:contextualSpacing/>
              <w:rPr>
                <w:b/>
              </w:rPr>
            </w:pPr>
          </w:p>
        </w:tc>
        <w:tc>
          <w:tcPr>
            <w:tcW w:w="4230" w:type="dxa"/>
            <w:vMerge/>
          </w:tcPr>
          <w:p w:rsidR="008621E4" w:rsidRPr="00555924" w:rsidRDefault="008621E4" w:rsidP="00CC00ED">
            <w:pPr>
              <w:rPr>
                <w:b/>
              </w:rPr>
            </w:pPr>
          </w:p>
        </w:tc>
        <w:tc>
          <w:tcPr>
            <w:tcW w:w="2790" w:type="dxa"/>
          </w:tcPr>
          <w:p w:rsidR="008621E4" w:rsidRPr="00555924" w:rsidRDefault="006C22BC" w:rsidP="00CC00ED">
            <w:pPr>
              <w:spacing w:after="120"/>
              <w:rPr>
                <w:b/>
              </w:rPr>
            </w:pPr>
            <w:r>
              <w:rPr>
                <w:b/>
              </w:rPr>
              <w:t xml:space="preserve">Reading Standards: </w:t>
            </w:r>
            <w:r w:rsidRPr="000D39D5">
              <w:rPr>
                <w:b/>
              </w:rPr>
              <w:t>Foundational Skills</w:t>
            </w:r>
            <w:r>
              <w:rPr>
                <w:b/>
              </w:rPr>
              <w:t xml:space="preserve"> </w:t>
            </w:r>
            <w:r w:rsidRPr="00D243D5">
              <w:rPr>
                <w:rStyle w:val="FootnoteReference"/>
                <w:b/>
                <w:sz w:val="24"/>
                <w:szCs w:val="24"/>
              </w:rPr>
              <w:footnoteReference w:id="6"/>
            </w:r>
          </w:p>
          <w:p w:rsidR="008621E4" w:rsidRPr="00555924" w:rsidRDefault="008621E4" w:rsidP="00CC00ED">
            <w:r w:rsidRPr="00555924">
              <w:t>RF.2.3f, RF.2.4a-b</w:t>
            </w:r>
          </w:p>
        </w:tc>
      </w:tr>
      <w:tr w:rsidR="00555924" w:rsidRPr="00555924" w:rsidTr="00C43D01">
        <w:trPr>
          <w:trHeight w:val="485"/>
        </w:trPr>
        <w:tc>
          <w:tcPr>
            <w:tcW w:w="1170" w:type="dxa"/>
            <w:vMerge/>
            <w:shd w:val="clear" w:color="auto" w:fill="D9D9D9" w:themeFill="background1" w:themeFillShade="D9"/>
          </w:tcPr>
          <w:p w:rsidR="008621E4" w:rsidRPr="00555924" w:rsidRDefault="008621E4" w:rsidP="00CC00ED">
            <w:pPr>
              <w:spacing w:after="120"/>
              <w:contextualSpacing/>
              <w:rPr>
                <w:b/>
              </w:rPr>
            </w:pPr>
          </w:p>
        </w:tc>
        <w:tc>
          <w:tcPr>
            <w:tcW w:w="3330" w:type="dxa"/>
            <w:vMerge w:val="restart"/>
          </w:tcPr>
          <w:p w:rsidR="008621E4" w:rsidRPr="00555924" w:rsidRDefault="008621E4" w:rsidP="008621E4">
            <w:pPr>
              <w:spacing w:after="120"/>
              <w:rPr>
                <w:b/>
              </w:rPr>
            </w:pPr>
            <w:r w:rsidRPr="00555924">
              <w:rPr>
                <w:b/>
              </w:rPr>
              <w:t>Text Complexity Rationale</w:t>
            </w:r>
          </w:p>
          <w:p w:rsidR="008621E4" w:rsidRPr="00555924" w:rsidRDefault="008621E4" w:rsidP="008621E4">
            <w:pPr>
              <w:spacing w:after="120"/>
              <w:rPr>
                <w:b/>
              </w:rPr>
            </w:pPr>
            <w:r w:rsidRPr="00555924">
              <w:t>The anchor text falls in the grades 4-5 band, so it should originally be read aloud to students. Students can read along after more than one reading of the tale. The related texts represent a range of text complexity from the beginning of grade 2 to the end of grade 3. Students could benefit from reading these texts in small collaborative groups or following along with the teacher</w:t>
            </w:r>
            <w:r w:rsidR="00C43D01">
              <w:t xml:space="preserve"> or an expert reader</w:t>
            </w:r>
            <w:r w:rsidRPr="00555924">
              <w:t xml:space="preserve"> reading them aloud rather than reading them independently at first.</w:t>
            </w:r>
          </w:p>
          <w:p w:rsidR="008621E4" w:rsidRPr="00555924" w:rsidRDefault="008621E4" w:rsidP="00CC00ED">
            <w:pPr>
              <w:spacing w:after="120"/>
              <w:rPr>
                <w:b/>
              </w:rPr>
            </w:pPr>
          </w:p>
        </w:tc>
        <w:tc>
          <w:tcPr>
            <w:tcW w:w="3060" w:type="dxa"/>
            <w:vMerge/>
          </w:tcPr>
          <w:p w:rsidR="008621E4" w:rsidRPr="00555924" w:rsidRDefault="008621E4" w:rsidP="00CC00ED">
            <w:pPr>
              <w:spacing w:after="120"/>
              <w:contextualSpacing/>
              <w:rPr>
                <w:b/>
              </w:rPr>
            </w:pPr>
          </w:p>
        </w:tc>
        <w:tc>
          <w:tcPr>
            <w:tcW w:w="4230" w:type="dxa"/>
            <w:vMerge/>
          </w:tcPr>
          <w:p w:rsidR="008621E4" w:rsidRPr="00555924" w:rsidRDefault="008621E4" w:rsidP="00CC00ED">
            <w:pPr>
              <w:rPr>
                <w:b/>
              </w:rPr>
            </w:pPr>
          </w:p>
        </w:tc>
        <w:tc>
          <w:tcPr>
            <w:tcW w:w="2790" w:type="dxa"/>
          </w:tcPr>
          <w:p w:rsidR="008621E4" w:rsidRPr="00555924" w:rsidRDefault="008621E4" w:rsidP="00CC00ED">
            <w:pPr>
              <w:spacing w:after="120"/>
              <w:rPr>
                <w:b/>
              </w:rPr>
            </w:pPr>
            <w:r w:rsidRPr="00555924">
              <w:rPr>
                <w:b/>
              </w:rPr>
              <w:t xml:space="preserve">Writing </w:t>
            </w:r>
          </w:p>
          <w:p w:rsidR="008621E4" w:rsidRPr="00555924" w:rsidRDefault="008621E4" w:rsidP="00CC00ED">
            <w:r w:rsidRPr="00555924">
              <w:t>W.2.1, W.2.2, W.2.3, W.2.5, W.2.6, W.2.7, W.2.8</w:t>
            </w:r>
          </w:p>
        </w:tc>
      </w:tr>
      <w:tr w:rsidR="00555924" w:rsidRPr="00555924" w:rsidTr="00C43D01">
        <w:trPr>
          <w:trHeight w:val="620"/>
        </w:trPr>
        <w:tc>
          <w:tcPr>
            <w:tcW w:w="1170" w:type="dxa"/>
            <w:vMerge/>
            <w:shd w:val="clear" w:color="auto" w:fill="D9D9D9" w:themeFill="background1" w:themeFillShade="D9"/>
          </w:tcPr>
          <w:p w:rsidR="008621E4" w:rsidRPr="00555924" w:rsidRDefault="008621E4" w:rsidP="00CC00ED">
            <w:pPr>
              <w:spacing w:after="120"/>
              <w:rPr>
                <w:b/>
              </w:rPr>
            </w:pPr>
          </w:p>
        </w:tc>
        <w:tc>
          <w:tcPr>
            <w:tcW w:w="3330" w:type="dxa"/>
            <w:vMerge/>
          </w:tcPr>
          <w:p w:rsidR="008621E4" w:rsidRPr="00555924" w:rsidRDefault="008621E4" w:rsidP="00CC00ED">
            <w:pPr>
              <w:spacing w:after="120"/>
              <w:rPr>
                <w:b/>
              </w:rPr>
            </w:pPr>
          </w:p>
        </w:tc>
        <w:tc>
          <w:tcPr>
            <w:tcW w:w="3060" w:type="dxa"/>
            <w:vMerge/>
          </w:tcPr>
          <w:p w:rsidR="008621E4" w:rsidRPr="00555924" w:rsidRDefault="008621E4" w:rsidP="00CC00ED">
            <w:pPr>
              <w:contextualSpacing/>
              <w:rPr>
                <w:b/>
              </w:rPr>
            </w:pPr>
          </w:p>
        </w:tc>
        <w:tc>
          <w:tcPr>
            <w:tcW w:w="4230" w:type="dxa"/>
            <w:vMerge w:val="restart"/>
          </w:tcPr>
          <w:p w:rsidR="008621E4" w:rsidRPr="00555924" w:rsidRDefault="008621E4" w:rsidP="00CC00ED">
            <w:pPr>
              <w:spacing w:after="120"/>
              <w:rPr>
                <w:b/>
              </w:rPr>
            </w:pPr>
            <w:r w:rsidRPr="00555924">
              <w:rPr>
                <w:b/>
              </w:rPr>
              <w:t>Sample Shared Research and Writing</w:t>
            </w:r>
          </w:p>
          <w:p w:rsidR="008621E4" w:rsidRPr="00555924" w:rsidRDefault="008621E4" w:rsidP="00CC00ED">
            <w:r w:rsidRPr="00555924">
              <w:t>Divide students into groups and assign each group one of the related texts. Help the groups locate an additional story from their assigned culture to read. Have each group identify a similarity and difference between the original story and the new story. Then have the groups tell the story to the class and explain what they learned about the culture from reading the two stories.</w:t>
            </w:r>
          </w:p>
        </w:tc>
        <w:tc>
          <w:tcPr>
            <w:tcW w:w="2790" w:type="dxa"/>
          </w:tcPr>
          <w:p w:rsidR="008621E4" w:rsidRPr="00555924" w:rsidRDefault="008621E4" w:rsidP="00CC00ED">
            <w:pPr>
              <w:spacing w:after="120"/>
              <w:rPr>
                <w:b/>
              </w:rPr>
            </w:pPr>
            <w:r w:rsidRPr="00555924">
              <w:rPr>
                <w:b/>
              </w:rPr>
              <w:t xml:space="preserve">Speaking and Listening </w:t>
            </w:r>
          </w:p>
          <w:p w:rsidR="008621E4" w:rsidRPr="00555924" w:rsidRDefault="008621E4" w:rsidP="00CC00ED">
            <w:r w:rsidRPr="00555924">
              <w:t>SL.2.1a-c, SL.2.2, SL.2.4, SL.2.5, SL.2.6</w:t>
            </w:r>
          </w:p>
        </w:tc>
      </w:tr>
      <w:tr w:rsidR="00555924" w:rsidRPr="00555924" w:rsidTr="00C43D01">
        <w:trPr>
          <w:trHeight w:val="773"/>
        </w:trPr>
        <w:tc>
          <w:tcPr>
            <w:tcW w:w="1170" w:type="dxa"/>
            <w:vMerge/>
            <w:shd w:val="clear" w:color="auto" w:fill="D9D9D9" w:themeFill="background1" w:themeFillShade="D9"/>
          </w:tcPr>
          <w:p w:rsidR="008621E4" w:rsidRPr="00555924" w:rsidRDefault="008621E4" w:rsidP="00CC00ED">
            <w:pPr>
              <w:spacing w:after="120"/>
              <w:rPr>
                <w:b/>
              </w:rPr>
            </w:pPr>
          </w:p>
        </w:tc>
        <w:tc>
          <w:tcPr>
            <w:tcW w:w="3330" w:type="dxa"/>
            <w:vMerge/>
          </w:tcPr>
          <w:p w:rsidR="008621E4" w:rsidRPr="00555924" w:rsidRDefault="008621E4" w:rsidP="00CC00ED">
            <w:pPr>
              <w:spacing w:after="120"/>
              <w:rPr>
                <w:b/>
              </w:rPr>
            </w:pPr>
          </w:p>
        </w:tc>
        <w:tc>
          <w:tcPr>
            <w:tcW w:w="3060" w:type="dxa"/>
            <w:vMerge/>
          </w:tcPr>
          <w:p w:rsidR="008621E4" w:rsidRPr="00555924" w:rsidRDefault="008621E4" w:rsidP="00CC00ED">
            <w:pPr>
              <w:contextualSpacing/>
              <w:rPr>
                <w:b/>
              </w:rPr>
            </w:pPr>
          </w:p>
        </w:tc>
        <w:tc>
          <w:tcPr>
            <w:tcW w:w="4230" w:type="dxa"/>
            <w:vMerge/>
          </w:tcPr>
          <w:p w:rsidR="008621E4" w:rsidRPr="00555924" w:rsidRDefault="008621E4" w:rsidP="00CC00ED">
            <w:pPr>
              <w:rPr>
                <w:b/>
              </w:rPr>
            </w:pPr>
          </w:p>
        </w:tc>
        <w:tc>
          <w:tcPr>
            <w:tcW w:w="2790" w:type="dxa"/>
          </w:tcPr>
          <w:p w:rsidR="008621E4" w:rsidRPr="00555924" w:rsidRDefault="008621E4" w:rsidP="00CC00ED">
            <w:pPr>
              <w:spacing w:after="120"/>
              <w:rPr>
                <w:b/>
              </w:rPr>
            </w:pPr>
            <w:r w:rsidRPr="00555924">
              <w:rPr>
                <w:b/>
              </w:rPr>
              <w:t>Language</w:t>
            </w:r>
          </w:p>
          <w:p w:rsidR="008621E4" w:rsidRPr="00555924" w:rsidRDefault="008621E4" w:rsidP="00CC00ED">
            <w:r w:rsidRPr="00555924">
              <w:t>L.2.1a-f; L.2.2a, c-e; L.2.3a; L.2.4a-e; L.2.5a-b; L.2.6</w:t>
            </w:r>
          </w:p>
        </w:tc>
      </w:tr>
    </w:tbl>
    <w:p w:rsidR="00C95556" w:rsidRPr="003607A3" w:rsidRDefault="00C95556" w:rsidP="00C95556">
      <w:pPr>
        <w:jc w:val="center"/>
        <w:rPr>
          <w:b/>
          <w:sz w:val="24"/>
          <w:szCs w:val="24"/>
        </w:rPr>
      </w:pPr>
      <w:r>
        <w:rPr>
          <w:rFonts w:cs="Cambria"/>
          <w:b/>
          <w:color w:val="000000" w:themeColor="text1"/>
          <w:sz w:val="32"/>
          <w:szCs w:val="32"/>
        </w:rPr>
        <w:br w:type="page"/>
      </w:r>
      <w:bookmarkStart w:id="4" w:name="Water"/>
      <w:bookmarkEnd w:id="4"/>
      <w:r w:rsidR="00C56990">
        <w:rPr>
          <w:rFonts w:cs="Cambria"/>
          <w:b/>
          <w:color w:val="000000" w:themeColor="text1"/>
          <w:sz w:val="32"/>
          <w:szCs w:val="32"/>
        </w:rPr>
        <w:lastRenderedPageBreak/>
        <w:t xml:space="preserve">English Language Arts/Literacy Grade 2 </w:t>
      </w:r>
      <w:r>
        <w:rPr>
          <w:rFonts w:cs="Cambria"/>
          <w:b/>
          <w:color w:val="000000" w:themeColor="text1"/>
          <w:sz w:val="32"/>
          <w:szCs w:val="32"/>
        </w:rPr>
        <w:t>Year-in-Detail, cont. (SAMPLE)</w:t>
      </w:r>
    </w:p>
    <w:tbl>
      <w:tblPr>
        <w:tblStyle w:val="TableGrid"/>
        <w:tblW w:w="14580" w:type="dxa"/>
        <w:tblInd w:w="108" w:type="dxa"/>
        <w:tblLayout w:type="fixed"/>
        <w:tblLook w:val="04A0" w:firstRow="1" w:lastRow="0" w:firstColumn="1" w:lastColumn="0" w:noHBand="0" w:noVBand="1"/>
      </w:tblPr>
      <w:tblGrid>
        <w:gridCol w:w="1170"/>
        <w:gridCol w:w="3600"/>
        <w:gridCol w:w="3420"/>
        <w:gridCol w:w="3690"/>
        <w:gridCol w:w="2700"/>
      </w:tblGrid>
      <w:tr w:rsidR="00917F4A" w:rsidRPr="00555924" w:rsidTr="005F4B34">
        <w:trPr>
          <w:trHeight w:val="422"/>
        </w:trPr>
        <w:tc>
          <w:tcPr>
            <w:tcW w:w="1170" w:type="dxa"/>
            <w:vMerge w:val="restart"/>
            <w:shd w:val="clear" w:color="auto" w:fill="D9D9D9" w:themeFill="background1" w:themeFillShade="D9"/>
          </w:tcPr>
          <w:p w:rsidR="00917F4A" w:rsidRPr="00555924" w:rsidRDefault="006876B5" w:rsidP="00CC00ED">
            <w:pPr>
              <w:spacing w:after="120"/>
              <w:contextualSpacing/>
              <w:rPr>
                <w:b/>
              </w:rPr>
            </w:pPr>
            <w:hyperlink r:id="rId37" w:history="1">
              <w:r w:rsidR="00917F4A" w:rsidRPr="00FB4A4B">
                <w:rPr>
                  <w:rStyle w:val="Hyperlink"/>
                  <w:b/>
                </w:rPr>
                <w:t>Unit Four</w:t>
              </w:r>
            </w:hyperlink>
          </w:p>
        </w:tc>
        <w:tc>
          <w:tcPr>
            <w:tcW w:w="3600" w:type="dxa"/>
            <w:vMerge w:val="restart"/>
          </w:tcPr>
          <w:p w:rsidR="00917F4A" w:rsidRPr="00555924" w:rsidRDefault="00917F4A" w:rsidP="00CC00ED">
            <w:pPr>
              <w:spacing w:after="120"/>
              <w:rPr>
                <w:b/>
              </w:rPr>
            </w:pPr>
            <w:r w:rsidRPr="00555924">
              <w:rPr>
                <w:b/>
              </w:rPr>
              <w:t>Read-Aloud Anchor Text</w:t>
            </w:r>
          </w:p>
          <w:p w:rsidR="00917F4A" w:rsidRPr="00555924" w:rsidRDefault="00917F4A" w:rsidP="00CC00ED">
            <w:r w:rsidRPr="00555924">
              <w:rPr>
                <w:rFonts w:eastAsia="Gotham-Book" w:cs="Gotham-Book"/>
              </w:rPr>
              <w:t>“</w:t>
            </w:r>
            <w:hyperlink r:id="rId38" w:history="1">
              <w:r w:rsidRPr="00555924">
                <w:rPr>
                  <w:rStyle w:val="Hyperlink"/>
                  <w:rFonts w:eastAsia="Gotham-Book" w:cs="Gotham-Book"/>
                  <w:color w:val="auto"/>
                </w:rPr>
                <w:t>Thirsty Planet</w:t>
              </w:r>
            </w:hyperlink>
            <w:r w:rsidRPr="00555924">
              <w:rPr>
                <w:rFonts w:eastAsia="Gotham-Book" w:cs="Gotham-Book"/>
              </w:rPr>
              <w:t xml:space="preserve">,” Beth Geiger, </w:t>
            </w:r>
            <w:r w:rsidRPr="00555924">
              <w:rPr>
                <w:i/>
              </w:rPr>
              <w:t>National Geographic Explorer</w:t>
            </w:r>
            <w:r w:rsidRPr="00555924">
              <w:t>, Pathfinder Edition, October 2010</w:t>
            </w:r>
          </w:p>
          <w:p w:rsidR="00917F4A" w:rsidRPr="00555924" w:rsidRDefault="00917F4A" w:rsidP="00CC00ED">
            <w:pPr>
              <w:contextualSpacing/>
            </w:pPr>
          </w:p>
        </w:tc>
        <w:tc>
          <w:tcPr>
            <w:tcW w:w="3420" w:type="dxa"/>
            <w:vMerge w:val="restart"/>
          </w:tcPr>
          <w:p w:rsidR="00917F4A" w:rsidRPr="00555924" w:rsidRDefault="00917F4A" w:rsidP="00CC00ED">
            <w:pPr>
              <w:spacing w:after="120"/>
              <w:rPr>
                <w:b/>
              </w:rPr>
            </w:pPr>
            <w:r w:rsidRPr="00555924">
              <w:rPr>
                <w:b/>
              </w:rPr>
              <w:t>Related Texts</w:t>
            </w:r>
          </w:p>
          <w:p w:rsidR="00917F4A" w:rsidRPr="00555924" w:rsidRDefault="00917F4A" w:rsidP="00CC00ED">
            <w:pPr>
              <w:contextualSpacing/>
              <w:rPr>
                <w:i/>
                <w:u w:val="single"/>
              </w:rPr>
            </w:pPr>
            <w:r w:rsidRPr="00555924">
              <w:rPr>
                <w:i/>
                <w:u w:val="single"/>
              </w:rPr>
              <w:t>Literary Texts</w:t>
            </w:r>
          </w:p>
          <w:p w:rsidR="00917F4A" w:rsidRPr="00555924" w:rsidRDefault="00917F4A" w:rsidP="00C95556">
            <w:pPr>
              <w:pStyle w:val="ListParagraph"/>
              <w:numPr>
                <w:ilvl w:val="0"/>
                <w:numId w:val="14"/>
              </w:numPr>
              <w:ind w:left="342" w:hanging="270"/>
            </w:pPr>
            <w:r w:rsidRPr="00555924">
              <w:rPr>
                <w:rFonts w:eastAsia="Gotham-Book" w:cs="Gotham-Book"/>
                <w:i/>
              </w:rPr>
              <w:t>The Raft</w:t>
            </w:r>
            <w:r w:rsidRPr="00555924">
              <w:rPr>
                <w:rFonts w:eastAsia="Gotham-Book" w:cs="Gotham-Book"/>
              </w:rPr>
              <w:t>, Jim LaMarche (Appendix B Exemplar)</w:t>
            </w:r>
          </w:p>
          <w:p w:rsidR="00917F4A" w:rsidRPr="00555924" w:rsidRDefault="00917F4A" w:rsidP="00C95556">
            <w:pPr>
              <w:pStyle w:val="ListParagraph"/>
              <w:numPr>
                <w:ilvl w:val="0"/>
                <w:numId w:val="14"/>
              </w:numPr>
              <w:ind w:left="342" w:hanging="270"/>
            </w:pPr>
            <w:r w:rsidRPr="00555924">
              <w:rPr>
                <w:i/>
              </w:rPr>
              <w:t>River Song with the Banana Slug String Band</w:t>
            </w:r>
            <w:r w:rsidRPr="00555924">
              <w:t>, Steve Van Zandt and Katherine Zecca</w:t>
            </w:r>
          </w:p>
          <w:p w:rsidR="00917F4A" w:rsidRPr="00555924" w:rsidRDefault="00917F4A" w:rsidP="00C95556">
            <w:pPr>
              <w:pStyle w:val="ListParagraph"/>
              <w:numPr>
                <w:ilvl w:val="0"/>
                <w:numId w:val="14"/>
              </w:numPr>
              <w:autoSpaceDE w:val="0"/>
              <w:autoSpaceDN w:val="0"/>
              <w:adjustRightInd w:val="0"/>
              <w:ind w:left="342" w:hanging="270"/>
            </w:pPr>
            <w:r w:rsidRPr="00555924">
              <w:rPr>
                <w:i/>
              </w:rPr>
              <w:t>A Drop Around the World</w:t>
            </w:r>
            <w:r w:rsidRPr="00555924">
              <w:t>, Barbara Shaw McKinney and Michael S. Maydak</w:t>
            </w:r>
          </w:p>
          <w:p w:rsidR="00917F4A" w:rsidRPr="00555924" w:rsidRDefault="00917F4A" w:rsidP="00CC00ED">
            <w:pPr>
              <w:spacing w:before="120"/>
              <w:contextualSpacing/>
              <w:rPr>
                <w:i/>
                <w:u w:val="single"/>
              </w:rPr>
            </w:pPr>
            <w:r w:rsidRPr="00555924">
              <w:rPr>
                <w:i/>
                <w:u w:val="single"/>
              </w:rPr>
              <w:t>Informational Texts</w:t>
            </w:r>
          </w:p>
          <w:p w:rsidR="00917F4A" w:rsidRPr="00555924" w:rsidRDefault="00917F4A" w:rsidP="00C95556">
            <w:pPr>
              <w:pStyle w:val="ListParagraph"/>
              <w:numPr>
                <w:ilvl w:val="0"/>
                <w:numId w:val="14"/>
              </w:numPr>
              <w:autoSpaceDE w:val="0"/>
              <w:autoSpaceDN w:val="0"/>
              <w:adjustRightInd w:val="0"/>
              <w:ind w:left="342" w:hanging="270"/>
            </w:pPr>
            <w:r w:rsidRPr="00555924">
              <w:rPr>
                <w:i/>
              </w:rPr>
              <w:t>Down Comes the Rain</w:t>
            </w:r>
            <w:r w:rsidRPr="00555924">
              <w:t>, Franklyn Branley and James Graham Hale</w:t>
            </w:r>
          </w:p>
          <w:p w:rsidR="00917F4A" w:rsidRPr="00555924" w:rsidRDefault="00917F4A" w:rsidP="00C95556">
            <w:pPr>
              <w:pStyle w:val="ListParagraph"/>
              <w:numPr>
                <w:ilvl w:val="0"/>
                <w:numId w:val="14"/>
              </w:numPr>
              <w:ind w:left="342" w:hanging="270"/>
            </w:pPr>
            <w:r w:rsidRPr="00555924">
              <w:t>Excerpts from</w:t>
            </w:r>
            <w:r w:rsidRPr="00555924">
              <w:rPr>
                <w:i/>
              </w:rPr>
              <w:t xml:space="preserve"> A Drop of Water: A Book of Science and Wonder</w:t>
            </w:r>
            <w:r w:rsidRPr="00555924">
              <w:t>, Walter Wick (Appendix B Exemplar, Read Aloud)</w:t>
            </w:r>
          </w:p>
          <w:p w:rsidR="00917F4A" w:rsidRPr="00555924" w:rsidRDefault="00917F4A" w:rsidP="00C95556">
            <w:pPr>
              <w:pStyle w:val="ListParagraph"/>
              <w:numPr>
                <w:ilvl w:val="0"/>
                <w:numId w:val="14"/>
              </w:numPr>
              <w:autoSpaceDE w:val="0"/>
              <w:autoSpaceDN w:val="0"/>
              <w:adjustRightInd w:val="0"/>
              <w:ind w:left="342" w:hanging="270"/>
            </w:pPr>
            <w:r w:rsidRPr="00555924">
              <w:rPr>
                <w:i/>
              </w:rPr>
              <w:t>One Well: The Story of Water on Earth</w:t>
            </w:r>
            <w:r w:rsidRPr="00555924">
              <w:t>, Rochelle Strauss and Rosemary Woods (Read Aloud)</w:t>
            </w:r>
          </w:p>
          <w:p w:rsidR="00917F4A" w:rsidRPr="00555924" w:rsidRDefault="00917F4A" w:rsidP="00CC00ED">
            <w:pPr>
              <w:spacing w:before="120"/>
              <w:rPr>
                <w:rFonts w:cs="Calibri"/>
              </w:rPr>
            </w:pPr>
          </w:p>
        </w:tc>
        <w:tc>
          <w:tcPr>
            <w:tcW w:w="3690" w:type="dxa"/>
            <w:vMerge w:val="restart"/>
          </w:tcPr>
          <w:p w:rsidR="00917F4A" w:rsidRPr="00555924" w:rsidRDefault="00917F4A" w:rsidP="00CC00ED">
            <w:pPr>
              <w:spacing w:after="120"/>
              <w:rPr>
                <w:b/>
              </w:rPr>
            </w:pPr>
            <w:r w:rsidRPr="00555924">
              <w:rPr>
                <w:b/>
              </w:rPr>
              <w:t>Building Student Knowledge</w:t>
            </w:r>
          </w:p>
          <w:p w:rsidR="00917F4A" w:rsidRPr="00555924" w:rsidRDefault="00917F4A" w:rsidP="00E06B42">
            <w:r w:rsidRPr="00555924">
              <w:t>Students learn about the water cycle and the role of water in nature. Through various descriptions of water’s journey throughout the world and the lives that depend on it for survival, students come to appreciate the importance of water and the need to maintain its sustainability for generations to come. This set connects to science.</w:t>
            </w:r>
          </w:p>
        </w:tc>
        <w:tc>
          <w:tcPr>
            <w:tcW w:w="2700" w:type="dxa"/>
            <w:shd w:val="clear" w:color="auto" w:fill="D9D9D9" w:themeFill="background1" w:themeFillShade="D9"/>
          </w:tcPr>
          <w:p w:rsidR="00917F4A" w:rsidRPr="00555924" w:rsidRDefault="006876B5" w:rsidP="00A23C4D">
            <w:pPr>
              <w:rPr>
                <w:b/>
              </w:rPr>
            </w:pPr>
            <w:hyperlink r:id="rId39" w:history="1">
              <w:r w:rsidR="00917F4A" w:rsidRPr="00917F4A">
                <w:rPr>
                  <w:rStyle w:val="Hyperlink"/>
                  <w:b/>
                </w:rPr>
                <w:t>Possible Common Core State Standards</w:t>
              </w:r>
            </w:hyperlink>
          </w:p>
        </w:tc>
      </w:tr>
      <w:tr w:rsidR="00555924" w:rsidRPr="00555924" w:rsidTr="005F4B34">
        <w:trPr>
          <w:trHeight w:val="997"/>
        </w:trPr>
        <w:tc>
          <w:tcPr>
            <w:tcW w:w="1170" w:type="dxa"/>
            <w:vMerge/>
            <w:shd w:val="clear" w:color="auto" w:fill="D9D9D9" w:themeFill="background1" w:themeFillShade="D9"/>
          </w:tcPr>
          <w:p w:rsidR="008621E4" w:rsidRPr="00555924" w:rsidRDefault="008621E4" w:rsidP="00CC00ED">
            <w:pPr>
              <w:spacing w:after="120"/>
              <w:contextualSpacing/>
              <w:rPr>
                <w:b/>
              </w:rPr>
            </w:pPr>
          </w:p>
        </w:tc>
        <w:tc>
          <w:tcPr>
            <w:tcW w:w="3600" w:type="dxa"/>
            <w:vMerge/>
          </w:tcPr>
          <w:p w:rsidR="008621E4" w:rsidRPr="00555924" w:rsidRDefault="008621E4" w:rsidP="00CC00ED">
            <w:pPr>
              <w:spacing w:after="120"/>
              <w:rPr>
                <w:b/>
              </w:rPr>
            </w:pPr>
          </w:p>
        </w:tc>
        <w:tc>
          <w:tcPr>
            <w:tcW w:w="3420" w:type="dxa"/>
            <w:vMerge/>
          </w:tcPr>
          <w:p w:rsidR="008621E4" w:rsidRPr="00555924" w:rsidRDefault="008621E4" w:rsidP="00CC00ED">
            <w:pPr>
              <w:spacing w:after="120"/>
              <w:rPr>
                <w:b/>
              </w:rPr>
            </w:pPr>
          </w:p>
        </w:tc>
        <w:tc>
          <w:tcPr>
            <w:tcW w:w="3690" w:type="dxa"/>
            <w:vMerge/>
          </w:tcPr>
          <w:p w:rsidR="008621E4" w:rsidRPr="00555924" w:rsidRDefault="008621E4" w:rsidP="00CC00ED">
            <w:pPr>
              <w:spacing w:after="120"/>
              <w:rPr>
                <w:b/>
              </w:rPr>
            </w:pPr>
          </w:p>
        </w:tc>
        <w:tc>
          <w:tcPr>
            <w:tcW w:w="2700" w:type="dxa"/>
          </w:tcPr>
          <w:p w:rsidR="008621E4" w:rsidRPr="00555924" w:rsidRDefault="008621E4" w:rsidP="008621E4">
            <w:pPr>
              <w:spacing w:after="120"/>
              <w:rPr>
                <w:b/>
              </w:rPr>
            </w:pPr>
            <w:r w:rsidRPr="00555924">
              <w:rPr>
                <w:b/>
              </w:rPr>
              <w:t>Reading</w:t>
            </w:r>
          </w:p>
          <w:p w:rsidR="008621E4" w:rsidRPr="00555924" w:rsidRDefault="008621E4" w:rsidP="008621E4">
            <w:r w:rsidRPr="00555924">
              <w:t>RL.2.1, RL.2.3, RL.2.4, RL.2.5, RI.2.7, RL.2.10</w:t>
            </w:r>
          </w:p>
          <w:p w:rsidR="008621E4" w:rsidRPr="00555924" w:rsidRDefault="008621E4" w:rsidP="008621E4">
            <w:pPr>
              <w:rPr>
                <w:b/>
              </w:rPr>
            </w:pPr>
            <w:r w:rsidRPr="00555924">
              <w:t>RI.2.1, RI.2.2, RI.2.3, RI.2.4, RI.2.5, RI.2.6, RI.2.7, RI.2.8, RI.2.9, RI.2.10</w:t>
            </w:r>
          </w:p>
        </w:tc>
      </w:tr>
      <w:tr w:rsidR="00555924" w:rsidRPr="00555924" w:rsidTr="005F4B34">
        <w:trPr>
          <w:trHeight w:val="575"/>
        </w:trPr>
        <w:tc>
          <w:tcPr>
            <w:tcW w:w="1170" w:type="dxa"/>
            <w:vMerge/>
            <w:shd w:val="clear" w:color="auto" w:fill="D9D9D9" w:themeFill="background1" w:themeFillShade="D9"/>
          </w:tcPr>
          <w:p w:rsidR="008621E4" w:rsidRPr="00555924" w:rsidRDefault="008621E4" w:rsidP="00CC00ED">
            <w:pPr>
              <w:spacing w:after="120"/>
              <w:contextualSpacing/>
              <w:rPr>
                <w:b/>
              </w:rPr>
            </w:pPr>
          </w:p>
        </w:tc>
        <w:tc>
          <w:tcPr>
            <w:tcW w:w="3600" w:type="dxa"/>
            <w:vMerge/>
          </w:tcPr>
          <w:p w:rsidR="008621E4" w:rsidRPr="00555924" w:rsidRDefault="008621E4" w:rsidP="00CC00ED">
            <w:pPr>
              <w:spacing w:after="120"/>
              <w:contextualSpacing/>
              <w:rPr>
                <w:b/>
              </w:rPr>
            </w:pPr>
          </w:p>
        </w:tc>
        <w:tc>
          <w:tcPr>
            <w:tcW w:w="3420" w:type="dxa"/>
            <w:vMerge/>
          </w:tcPr>
          <w:p w:rsidR="008621E4" w:rsidRPr="00555924" w:rsidRDefault="008621E4" w:rsidP="00CC00ED">
            <w:pPr>
              <w:spacing w:after="120"/>
              <w:contextualSpacing/>
              <w:rPr>
                <w:b/>
              </w:rPr>
            </w:pPr>
          </w:p>
        </w:tc>
        <w:tc>
          <w:tcPr>
            <w:tcW w:w="3690" w:type="dxa"/>
            <w:vMerge/>
          </w:tcPr>
          <w:p w:rsidR="008621E4" w:rsidRPr="00555924" w:rsidRDefault="008621E4" w:rsidP="00CC00ED">
            <w:pPr>
              <w:spacing w:after="120"/>
              <w:rPr>
                <w:b/>
              </w:rPr>
            </w:pPr>
          </w:p>
        </w:tc>
        <w:tc>
          <w:tcPr>
            <w:tcW w:w="2700" w:type="dxa"/>
          </w:tcPr>
          <w:p w:rsidR="008621E4" w:rsidRPr="00555924" w:rsidRDefault="006C22BC" w:rsidP="00CC00ED">
            <w:pPr>
              <w:spacing w:after="120"/>
              <w:rPr>
                <w:b/>
              </w:rPr>
            </w:pPr>
            <w:r>
              <w:rPr>
                <w:b/>
              </w:rPr>
              <w:t xml:space="preserve">Reading Standards: </w:t>
            </w:r>
            <w:r w:rsidRPr="000D39D5">
              <w:rPr>
                <w:b/>
              </w:rPr>
              <w:t>Foundational Skills</w:t>
            </w:r>
            <w:r>
              <w:rPr>
                <w:b/>
              </w:rPr>
              <w:t xml:space="preserve"> </w:t>
            </w:r>
            <w:r w:rsidRPr="00D243D5">
              <w:rPr>
                <w:rStyle w:val="FootnoteReference"/>
                <w:b/>
                <w:sz w:val="24"/>
                <w:szCs w:val="24"/>
              </w:rPr>
              <w:footnoteReference w:id="7"/>
            </w:r>
          </w:p>
          <w:p w:rsidR="008621E4" w:rsidRPr="00555924" w:rsidRDefault="008621E4" w:rsidP="00E06B42">
            <w:r w:rsidRPr="00555924">
              <w:t>RF.2.3a-f; RF.2.4a-b</w:t>
            </w:r>
          </w:p>
        </w:tc>
      </w:tr>
      <w:tr w:rsidR="00555924" w:rsidRPr="00555924" w:rsidTr="005F4B34">
        <w:trPr>
          <w:trHeight w:val="638"/>
        </w:trPr>
        <w:tc>
          <w:tcPr>
            <w:tcW w:w="1170" w:type="dxa"/>
            <w:vMerge/>
            <w:shd w:val="clear" w:color="auto" w:fill="D9D9D9" w:themeFill="background1" w:themeFillShade="D9"/>
          </w:tcPr>
          <w:p w:rsidR="008621E4" w:rsidRPr="00555924" w:rsidRDefault="008621E4" w:rsidP="00CC00ED">
            <w:pPr>
              <w:spacing w:after="120"/>
              <w:contextualSpacing/>
              <w:rPr>
                <w:b/>
              </w:rPr>
            </w:pPr>
          </w:p>
        </w:tc>
        <w:tc>
          <w:tcPr>
            <w:tcW w:w="3600" w:type="dxa"/>
            <w:vMerge w:val="restart"/>
          </w:tcPr>
          <w:p w:rsidR="008621E4" w:rsidRPr="00555924" w:rsidRDefault="008621E4" w:rsidP="00CC00ED">
            <w:pPr>
              <w:spacing w:after="120"/>
              <w:rPr>
                <w:b/>
              </w:rPr>
            </w:pPr>
            <w:r w:rsidRPr="00555924">
              <w:rPr>
                <w:b/>
              </w:rPr>
              <w:t>Text Complexity Rationale</w:t>
            </w:r>
          </w:p>
          <w:p w:rsidR="008621E4" w:rsidRPr="00555924" w:rsidRDefault="008621E4" w:rsidP="00C43D01">
            <w:pPr>
              <w:spacing w:after="120"/>
              <w:rPr>
                <w:b/>
              </w:rPr>
            </w:pPr>
            <w:r w:rsidRPr="00555924">
              <w:t>There is a range of text complexity from the beginning of grade 2 (</w:t>
            </w:r>
            <w:r w:rsidRPr="00555924">
              <w:rPr>
                <w:i/>
              </w:rPr>
              <w:t>The Raft</w:t>
            </w:r>
            <w:r w:rsidRPr="00555924">
              <w:t xml:space="preserve"> and </w:t>
            </w:r>
            <w:r w:rsidRPr="00555924">
              <w:rPr>
                <w:i/>
              </w:rPr>
              <w:t>Down Comes the Rain</w:t>
            </w:r>
            <w:r w:rsidRPr="00555924">
              <w:t xml:space="preserve">) to the </w:t>
            </w:r>
            <w:r w:rsidR="00C43D01">
              <w:t xml:space="preserve">4-5 </w:t>
            </w:r>
            <w:r w:rsidRPr="00555924">
              <w:t>grade</w:t>
            </w:r>
            <w:r w:rsidR="00C43D01">
              <w:t xml:space="preserve"> </w:t>
            </w:r>
            <w:r w:rsidRPr="00555924">
              <w:t xml:space="preserve">band (labeled as Read Aloud). The other texts fall within the </w:t>
            </w:r>
            <w:r w:rsidR="00C43D01">
              <w:t xml:space="preserve">2-3 grade </w:t>
            </w:r>
            <w:r w:rsidRPr="00555924">
              <w:t>band, and while students will likely need some scaffolding, after a few reads, students should begin demonstrating more independence in reading the texts in this set.</w:t>
            </w:r>
          </w:p>
        </w:tc>
        <w:tc>
          <w:tcPr>
            <w:tcW w:w="3420" w:type="dxa"/>
            <w:vMerge/>
          </w:tcPr>
          <w:p w:rsidR="008621E4" w:rsidRPr="00555924" w:rsidRDefault="008621E4" w:rsidP="00CC00ED">
            <w:pPr>
              <w:spacing w:after="120"/>
              <w:contextualSpacing/>
              <w:rPr>
                <w:b/>
              </w:rPr>
            </w:pPr>
          </w:p>
        </w:tc>
        <w:tc>
          <w:tcPr>
            <w:tcW w:w="3690" w:type="dxa"/>
            <w:vMerge w:val="restart"/>
          </w:tcPr>
          <w:p w:rsidR="008621E4" w:rsidRPr="00555924" w:rsidRDefault="008621E4" w:rsidP="00CC00ED">
            <w:pPr>
              <w:rPr>
                <w:b/>
              </w:rPr>
            </w:pPr>
            <w:r w:rsidRPr="00555924">
              <w:rPr>
                <w:b/>
              </w:rPr>
              <w:t>Sample Shared Research and Writing</w:t>
            </w:r>
          </w:p>
          <w:p w:rsidR="008621E4" w:rsidRPr="00555924" w:rsidRDefault="008621E4" w:rsidP="00CC00ED">
            <w:pPr>
              <w:spacing w:before="120"/>
              <w:rPr>
                <w:b/>
              </w:rPr>
            </w:pPr>
            <w:r w:rsidRPr="00555924">
              <w:t>Working in small collaborative groups, students will create a dramatic interpretation of the water cycle, using visuals and props, and present them to the class. After viewing the presentations, students will list the steps of the cycle and then explain in writing why water is important, using evidence from the texts they have read. As a further extension, they can discuss and list reasons why life exists on Earth, but not on the moon (to connect to Unit 1 in grade 1).</w:t>
            </w:r>
          </w:p>
        </w:tc>
        <w:tc>
          <w:tcPr>
            <w:tcW w:w="2700" w:type="dxa"/>
          </w:tcPr>
          <w:p w:rsidR="008621E4" w:rsidRPr="00555924" w:rsidRDefault="008621E4" w:rsidP="00CC00ED">
            <w:pPr>
              <w:spacing w:after="120"/>
              <w:rPr>
                <w:b/>
              </w:rPr>
            </w:pPr>
            <w:r w:rsidRPr="00555924">
              <w:rPr>
                <w:b/>
              </w:rPr>
              <w:t>Writing</w:t>
            </w:r>
          </w:p>
          <w:p w:rsidR="008621E4" w:rsidRPr="00555924" w:rsidRDefault="008621E4" w:rsidP="00CC00ED">
            <w:r w:rsidRPr="00555924">
              <w:t>W.2.1, W.2.2, W.2.3, W.2.5, W.2.7, W.2.8</w:t>
            </w:r>
          </w:p>
        </w:tc>
      </w:tr>
      <w:tr w:rsidR="00555924" w:rsidRPr="00555924" w:rsidTr="005F4B34">
        <w:trPr>
          <w:trHeight w:val="620"/>
        </w:trPr>
        <w:tc>
          <w:tcPr>
            <w:tcW w:w="1170" w:type="dxa"/>
            <w:vMerge/>
            <w:shd w:val="clear" w:color="auto" w:fill="D9D9D9" w:themeFill="background1" w:themeFillShade="D9"/>
          </w:tcPr>
          <w:p w:rsidR="008621E4" w:rsidRPr="00555924" w:rsidRDefault="008621E4" w:rsidP="00CC00ED">
            <w:pPr>
              <w:spacing w:after="120"/>
              <w:rPr>
                <w:b/>
              </w:rPr>
            </w:pPr>
          </w:p>
        </w:tc>
        <w:tc>
          <w:tcPr>
            <w:tcW w:w="3600" w:type="dxa"/>
            <w:vMerge/>
          </w:tcPr>
          <w:p w:rsidR="008621E4" w:rsidRPr="00555924" w:rsidRDefault="008621E4" w:rsidP="00CC00ED">
            <w:pPr>
              <w:spacing w:after="120"/>
              <w:rPr>
                <w:b/>
              </w:rPr>
            </w:pPr>
          </w:p>
        </w:tc>
        <w:tc>
          <w:tcPr>
            <w:tcW w:w="3420" w:type="dxa"/>
            <w:vMerge/>
          </w:tcPr>
          <w:p w:rsidR="008621E4" w:rsidRPr="00555924" w:rsidRDefault="008621E4" w:rsidP="00CC00ED">
            <w:pPr>
              <w:contextualSpacing/>
              <w:rPr>
                <w:b/>
              </w:rPr>
            </w:pPr>
          </w:p>
        </w:tc>
        <w:tc>
          <w:tcPr>
            <w:tcW w:w="3690" w:type="dxa"/>
            <w:vMerge/>
          </w:tcPr>
          <w:p w:rsidR="008621E4" w:rsidRPr="00555924" w:rsidRDefault="008621E4" w:rsidP="00CC00ED"/>
        </w:tc>
        <w:tc>
          <w:tcPr>
            <w:tcW w:w="2700" w:type="dxa"/>
          </w:tcPr>
          <w:p w:rsidR="008621E4" w:rsidRPr="00555924" w:rsidRDefault="008621E4" w:rsidP="00CC00ED">
            <w:pPr>
              <w:spacing w:after="120"/>
              <w:rPr>
                <w:b/>
              </w:rPr>
            </w:pPr>
            <w:r w:rsidRPr="00555924">
              <w:rPr>
                <w:b/>
              </w:rPr>
              <w:t xml:space="preserve">Speaking and Listening </w:t>
            </w:r>
          </w:p>
          <w:p w:rsidR="008621E4" w:rsidRPr="00555924" w:rsidRDefault="008621E4" w:rsidP="00CC00ED">
            <w:r w:rsidRPr="00555924">
              <w:t>SL.2.1a-c, SL.2.2, SL.2.4, SL.2.5, SL.2.6</w:t>
            </w:r>
          </w:p>
        </w:tc>
      </w:tr>
      <w:tr w:rsidR="00555924" w:rsidRPr="00555924" w:rsidTr="005F4B34">
        <w:trPr>
          <w:trHeight w:val="773"/>
        </w:trPr>
        <w:tc>
          <w:tcPr>
            <w:tcW w:w="1170" w:type="dxa"/>
            <w:vMerge/>
            <w:shd w:val="clear" w:color="auto" w:fill="D9D9D9" w:themeFill="background1" w:themeFillShade="D9"/>
          </w:tcPr>
          <w:p w:rsidR="008621E4" w:rsidRPr="00555924" w:rsidRDefault="008621E4" w:rsidP="00CC00ED">
            <w:pPr>
              <w:spacing w:after="120"/>
              <w:rPr>
                <w:b/>
              </w:rPr>
            </w:pPr>
          </w:p>
        </w:tc>
        <w:tc>
          <w:tcPr>
            <w:tcW w:w="3600" w:type="dxa"/>
            <w:vMerge/>
          </w:tcPr>
          <w:p w:rsidR="008621E4" w:rsidRPr="00555924" w:rsidRDefault="008621E4" w:rsidP="00CC00ED">
            <w:pPr>
              <w:spacing w:after="120"/>
              <w:rPr>
                <w:b/>
              </w:rPr>
            </w:pPr>
          </w:p>
        </w:tc>
        <w:tc>
          <w:tcPr>
            <w:tcW w:w="3420" w:type="dxa"/>
            <w:vMerge/>
          </w:tcPr>
          <w:p w:rsidR="008621E4" w:rsidRPr="00555924" w:rsidRDefault="008621E4" w:rsidP="00CC00ED">
            <w:pPr>
              <w:contextualSpacing/>
              <w:rPr>
                <w:b/>
              </w:rPr>
            </w:pPr>
          </w:p>
        </w:tc>
        <w:tc>
          <w:tcPr>
            <w:tcW w:w="3690" w:type="dxa"/>
            <w:vMerge/>
          </w:tcPr>
          <w:p w:rsidR="008621E4" w:rsidRPr="00555924" w:rsidRDefault="008621E4" w:rsidP="00CC00ED">
            <w:pPr>
              <w:rPr>
                <w:b/>
              </w:rPr>
            </w:pPr>
          </w:p>
        </w:tc>
        <w:tc>
          <w:tcPr>
            <w:tcW w:w="2700" w:type="dxa"/>
          </w:tcPr>
          <w:p w:rsidR="008621E4" w:rsidRPr="00555924" w:rsidRDefault="008621E4" w:rsidP="00CC00ED">
            <w:pPr>
              <w:spacing w:after="120"/>
              <w:rPr>
                <w:b/>
              </w:rPr>
            </w:pPr>
            <w:r w:rsidRPr="00555924">
              <w:rPr>
                <w:b/>
              </w:rPr>
              <w:t xml:space="preserve">Language </w:t>
            </w:r>
          </w:p>
          <w:p w:rsidR="008621E4" w:rsidRPr="00555924" w:rsidRDefault="008621E4" w:rsidP="00CC00ED">
            <w:r w:rsidRPr="00555924">
              <w:t>L.2.1a-f; L.2.2a, c-e; L.2.3a; L.2.4a-e, L.2.5a-b, L.2.6</w:t>
            </w:r>
          </w:p>
        </w:tc>
      </w:tr>
    </w:tbl>
    <w:p w:rsidR="00C95556" w:rsidRDefault="00C95556" w:rsidP="00C95556">
      <w:pPr>
        <w:spacing w:after="0" w:line="240" w:lineRule="auto"/>
      </w:pPr>
    </w:p>
    <w:p w:rsidR="00C95556" w:rsidRDefault="00C95556" w:rsidP="00C95556">
      <w:pPr>
        <w:spacing w:after="0" w:line="240" w:lineRule="auto"/>
      </w:pPr>
    </w:p>
    <w:p w:rsidR="00C95556" w:rsidRDefault="00C95556" w:rsidP="00C95556">
      <w:pPr>
        <w:rPr>
          <w:rFonts w:ascii="Verdana" w:hAnsi="Verdana"/>
          <w:vanish/>
          <w:color w:val="000000"/>
          <w:sz w:val="15"/>
          <w:szCs w:val="15"/>
        </w:rPr>
      </w:pPr>
      <w:r>
        <w:rPr>
          <w:rFonts w:ascii="Verdana" w:hAnsi="Verdana"/>
          <w:b/>
          <w:bCs/>
          <w:color w:val="E47911"/>
          <w:sz w:val="20"/>
          <w:szCs w:val="20"/>
        </w:rPr>
        <w:br w:type="page"/>
      </w:r>
      <w:bookmarkStart w:id="5" w:name="OxCartMan"/>
      <w:bookmarkEnd w:id="5"/>
      <w:r>
        <w:rPr>
          <w:rFonts w:ascii="Verdana" w:hAnsi="Verdana"/>
          <w:b/>
          <w:bCs/>
          <w:vanish/>
          <w:color w:val="E47911"/>
          <w:sz w:val="20"/>
          <w:szCs w:val="20"/>
        </w:rPr>
        <w:t>Cara Ashrose</w:t>
      </w:r>
      <w:r>
        <w:rPr>
          <w:rFonts w:ascii="Verdana" w:hAnsi="Verdana"/>
          <w:vanish/>
          <w:color w:val="000000"/>
          <w:sz w:val="15"/>
          <w:szCs w:val="15"/>
        </w:rPr>
        <w:t xml:space="preserve"> </w:t>
      </w:r>
      <w:r>
        <w:rPr>
          <w:rStyle w:val="bylinepipe1"/>
          <w:rFonts w:ascii="Verdana" w:hAnsi="Verdana"/>
          <w:vanish/>
          <w:sz w:val="15"/>
          <w:szCs w:val="15"/>
        </w:rPr>
        <w:t>(Author)</w:t>
      </w:r>
      <w:r>
        <w:rPr>
          <w:rFonts w:ascii="Verdana" w:hAnsi="Verdana"/>
          <w:vanish/>
          <w:color w:val="000000"/>
          <w:sz w:val="15"/>
          <w:szCs w:val="15"/>
        </w:rPr>
        <w:t xml:space="preserve"> </w:t>
      </w:r>
    </w:p>
    <w:p w:rsidR="00C95556" w:rsidRDefault="00C95556" w:rsidP="00C95556">
      <w:pPr>
        <w:rPr>
          <w:rFonts w:ascii="Verdana" w:hAnsi="Verdana"/>
          <w:vanish/>
          <w:color w:val="000000"/>
          <w:sz w:val="15"/>
          <w:szCs w:val="15"/>
        </w:rPr>
      </w:pPr>
      <w:r>
        <w:rPr>
          <w:rFonts w:ascii="Verdana" w:hAnsi="Verdana"/>
          <w:b/>
          <w:bCs/>
          <w:vanish/>
          <w:color w:val="E47911"/>
          <w:sz w:val="20"/>
          <w:szCs w:val="20"/>
        </w:rPr>
        <w:t>›</w:t>
      </w:r>
      <w:r>
        <w:rPr>
          <w:rFonts w:ascii="Verdana" w:hAnsi="Verdana"/>
          <w:vanish/>
          <w:color w:val="000000"/>
          <w:sz w:val="15"/>
          <w:szCs w:val="15"/>
        </w:rPr>
        <w:t xml:space="preserve"> </w:t>
      </w:r>
      <w:hyperlink r:id="rId40" w:history="1">
        <w:r>
          <w:rPr>
            <w:rStyle w:val="Hyperlink"/>
            <w:vanish/>
            <w:sz w:val="15"/>
            <w:szCs w:val="15"/>
          </w:rPr>
          <w:t>Visit Amazon's Cara Ashrose Page</w:t>
        </w:r>
      </w:hyperlink>
    </w:p>
    <w:p w:rsidR="00C95556" w:rsidRDefault="00C95556" w:rsidP="00C95556">
      <w:pPr>
        <w:rPr>
          <w:rFonts w:ascii="Verdana" w:hAnsi="Verdana"/>
          <w:vanish/>
          <w:color w:val="000000"/>
          <w:sz w:val="15"/>
          <w:szCs w:val="15"/>
        </w:rPr>
      </w:pPr>
      <w:r>
        <w:rPr>
          <w:rFonts w:ascii="Verdana" w:hAnsi="Verdana"/>
          <w:vanish/>
          <w:color w:val="000000"/>
          <w:sz w:val="15"/>
          <w:szCs w:val="15"/>
        </w:rPr>
        <w:t>Find all the books, read about the author, and more.</w:t>
      </w:r>
    </w:p>
    <w:p w:rsidR="00C95556" w:rsidRDefault="00C95556" w:rsidP="00C95556">
      <w:pPr>
        <w:rPr>
          <w:rFonts w:ascii="Verdana" w:hAnsi="Verdana"/>
          <w:vanish/>
          <w:color w:val="000000"/>
          <w:sz w:val="15"/>
          <w:szCs w:val="15"/>
        </w:rPr>
      </w:pPr>
      <w:r>
        <w:rPr>
          <w:rFonts w:ascii="Verdana" w:hAnsi="Verdana"/>
          <w:vanish/>
          <w:color w:val="000000"/>
          <w:sz w:val="15"/>
          <w:szCs w:val="15"/>
        </w:rPr>
        <w:t xml:space="preserve">See </w:t>
      </w:r>
      <w:hyperlink r:id="rId41" w:history="1">
        <w:r>
          <w:rPr>
            <w:rStyle w:val="Hyperlink"/>
            <w:vanish/>
            <w:sz w:val="15"/>
            <w:szCs w:val="15"/>
          </w:rPr>
          <w:t>search results</w:t>
        </w:r>
      </w:hyperlink>
      <w:r>
        <w:rPr>
          <w:rFonts w:ascii="Verdana" w:hAnsi="Verdana"/>
          <w:vanish/>
          <w:color w:val="000000"/>
          <w:sz w:val="15"/>
          <w:szCs w:val="15"/>
        </w:rPr>
        <w:t xml:space="preserve"> for this author </w:t>
      </w:r>
    </w:p>
    <w:p w:rsidR="00C95556" w:rsidRDefault="00C95556" w:rsidP="00C95556">
      <w:pPr>
        <w:rPr>
          <w:rFonts w:ascii="Verdana" w:hAnsi="Verdana"/>
          <w:vanish/>
          <w:color w:val="000000"/>
          <w:sz w:val="15"/>
          <w:szCs w:val="15"/>
        </w:rPr>
      </w:pPr>
      <w:r>
        <w:rPr>
          <w:rFonts w:ascii="Verdana" w:hAnsi="Verdana"/>
          <w:vanish/>
          <w:color w:val="000000"/>
          <w:sz w:val="15"/>
          <w:szCs w:val="15"/>
        </w:rPr>
        <w:t xml:space="preserve">Are you an author? </w:t>
      </w:r>
      <w:hyperlink r:id="rId42" w:history="1">
        <w:r>
          <w:rPr>
            <w:rStyle w:val="Hyperlink"/>
            <w:vanish/>
            <w:sz w:val="15"/>
            <w:szCs w:val="15"/>
          </w:rPr>
          <w:t>Learn about Author Central</w:t>
        </w:r>
      </w:hyperlink>
      <w:r>
        <w:rPr>
          <w:rFonts w:ascii="Verdana" w:hAnsi="Verdana"/>
          <w:vanish/>
          <w:color w:val="000000"/>
          <w:sz w:val="15"/>
          <w:szCs w:val="15"/>
        </w:rPr>
        <w:t xml:space="preserve"> </w:t>
      </w:r>
    </w:p>
    <w:p w:rsidR="00C95556" w:rsidRPr="003607A3" w:rsidRDefault="00C56990" w:rsidP="00C56990">
      <w:pPr>
        <w:jc w:val="center"/>
        <w:rPr>
          <w:b/>
          <w:sz w:val="24"/>
          <w:szCs w:val="24"/>
        </w:rPr>
      </w:pPr>
      <w:r>
        <w:rPr>
          <w:rFonts w:cs="Cambria"/>
          <w:b/>
          <w:color w:val="000000" w:themeColor="text1"/>
          <w:sz w:val="32"/>
          <w:szCs w:val="32"/>
        </w:rPr>
        <w:t xml:space="preserve">English Language Arts/Literacy Grade 2 </w:t>
      </w:r>
      <w:r w:rsidR="00C95556">
        <w:rPr>
          <w:rFonts w:cs="Cambria"/>
          <w:b/>
          <w:color w:val="000000" w:themeColor="text1"/>
          <w:sz w:val="32"/>
          <w:szCs w:val="32"/>
        </w:rPr>
        <w:t>Year-in-Detail, cont. (SAMPLE)</w:t>
      </w:r>
    </w:p>
    <w:tbl>
      <w:tblPr>
        <w:tblStyle w:val="TableGrid"/>
        <w:tblW w:w="14580" w:type="dxa"/>
        <w:tblInd w:w="108" w:type="dxa"/>
        <w:tblLayout w:type="fixed"/>
        <w:tblLook w:val="04A0" w:firstRow="1" w:lastRow="0" w:firstColumn="1" w:lastColumn="0" w:noHBand="0" w:noVBand="1"/>
      </w:tblPr>
      <w:tblGrid>
        <w:gridCol w:w="1170"/>
        <w:gridCol w:w="3150"/>
        <w:gridCol w:w="3420"/>
        <w:gridCol w:w="4050"/>
        <w:gridCol w:w="2790"/>
      </w:tblGrid>
      <w:tr w:rsidR="00917F4A" w:rsidRPr="00555924" w:rsidTr="005F4B34">
        <w:trPr>
          <w:trHeight w:val="422"/>
        </w:trPr>
        <w:tc>
          <w:tcPr>
            <w:tcW w:w="1170" w:type="dxa"/>
            <w:vMerge w:val="restart"/>
            <w:shd w:val="clear" w:color="auto" w:fill="D9D9D9" w:themeFill="background1" w:themeFillShade="D9"/>
          </w:tcPr>
          <w:p w:rsidR="00917F4A" w:rsidRPr="00555924" w:rsidRDefault="006876B5" w:rsidP="00CC00ED">
            <w:pPr>
              <w:spacing w:after="120"/>
              <w:contextualSpacing/>
              <w:rPr>
                <w:b/>
              </w:rPr>
            </w:pPr>
            <w:hyperlink r:id="rId43" w:history="1">
              <w:r w:rsidR="00917F4A" w:rsidRPr="00FB4A4B">
                <w:rPr>
                  <w:rStyle w:val="Hyperlink"/>
                  <w:b/>
                </w:rPr>
                <w:t>Unit Five</w:t>
              </w:r>
            </w:hyperlink>
          </w:p>
        </w:tc>
        <w:tc>
          <w:tcPr>
            <w:tcW w:w="3150" w:type="dxa"/>
            <w:vMerge w:val="restart"/>
          </w:tcPr>
          <w:p w:rsidR="00917F4A" w:rsidRPr="00555924" w:rsidRDefault="00917F4A" w:rsidP="00CC00ED">
            <w:pPr>
              <w:spacing w:after="120"/>
              <w:rPr>
                <w:b/>
              </w:rPr>
            </w:pPr>
            <w:r w:rsidRPr="00555924">
              <w:rPr>
                <w:b/>
              </w:rPr>
              <w:t>Read-Aloud Anchor Text</w:t>
            </w:r>
          </w:p>
          <w:p w:rsidR="00917F4A" w:rsidRPr="00555924" w:rsidRDefault="00917F4A" w:rsidP="00CC00ED">
            <w:pPr>
              <w:spacing w:after="120"/>
              <w:contextualSpacing/>
            </w:pPr>
            <w:r w:rsidRPr="00555924">
              <w:rPr>
                <w:i/>
              </w:rPr>
              <w:t>The Ox-Cart Man</w:t>
            </w:r>
            <w:r w:rsidRPr="00555924">
              <w:t>, Donald Hall and Barbara Cooney (Literary)</w:t>
            </w:r>
          </w:p>
        </w:tc>
        <w:tc>
          <w:tcPr>
            <w:tcW w:w="3420" w:type="dxa"/>
            <w:vMerge w:val="restart"/>
          </w:tcPr>
          <w:p w:rsidR="00917F4A" w:rsidRPr="00555924" w:rsidRDefault="00917F4A" w:rsidP="00CC00ED">
            <w:pPr>
              <w:spacing w:after="120"/>
              <w:rPr>
                <w:b/>
              </w:rPr>
            </w:pPr>
            <w:r w:rsidRPr="00555924">
              <w:rPr>
                <w:b/>
              </w:rPr>
              <w:t>Related Texts</w:t>
            </w:r>
          </w:p>
          <w:p w:rsidR="00917F4A" w:rsidRPr="00555924" w:rsidRDefault="00917F4A" w:rsidP="00CC00ED">
            <w:pPr>
              <w:contextualSpacing/>
              <w:rPr>
                <w:i/>
                <w:u w:val="single"/>
              </w:rPr>
            </w:pPr>
            <w:r w:rsidRPr="00555924">
              <w:rPr>
                <w:i/>
                <w:u w:val="single"/>
              </w:rPr>
              <w:t>Literary Texts</w:t>
            </w:r>
          </w:p>
          <w:p w:rsidR="00917F4A" w:rsidRPr="00555924" w:rsidRDefault="00917F4A" w:rsidP="00C95556">
            <w:pPr>
              <w:pStyle w:val="ListParagraph"/>
              <w:numPr>
                <w:ilvl w:val="0"/>
                <w:numId w:val="9"/>
              </w:numPr>
              <w:ind w:left="342" w:hanging="270"/>
            </w:pPr>
            <w:r w:rsidRPr="00555924">
              <w:t xml:space="preserve">Excerpts from </w:t>
            </w:r>
            <w:r w:rsidRPr="00555924">
              <w:rPr>
                <w:i/>
              </w:rPr>
              <w:t>Charlotte’s Web</w:t>
            </w:r>
            <w:r w:rsidRPr="00555924">
              <w:t>, E.B. White (Read Aloud)</w:t>
            </w:r>
          </w:p>
          <w:p w:rsidR="00917F4A" w:rsidRPr="00555924" w:rsidRDefault="00917F4A" w:rsidP="00C95556">
            <w:pPr>
              <w:pStyle w:val="ListParagraph"/>
              <w:numPr>
                <w:ilvl w:val="0"/>
                <w:numId w:val="9"/>
              </w:numPr>
              <w:ind w:left="342" w:hanging="270"/>
            </w:pPr>
            <w:r w:rsidRPr="00555924">
              <w:rPr>
                <w:i/>
              </w:rPr>
              <w:t>County Fair (My First Little House)</w:t>
            </w:r>
            <w:r w:rsidRPr="00555924">
              <w:t>, Laura Ingalls Wilder and Jody Wheeler</w:t>
            </w:r>
          </w:p>
          <w:p w:rsidR="00917F4A" w:rsidRPr="00555924" w:rsidRDefault="00917F4A" w:rsidP="00C95556">
            <w:pPr>
              <w:pStyle w:val="ListParagraph"/>
              <w:numPr>
                <w:ilvl w:val="0"/>
                <w:numId w:val="9"/>
              </w:numPr>
              <w:ind w:left="342" w:hanging="270"/>
            </w:pPr>
            <w:r w:rsidRPr="00555924">
              <w:rPr>
                <w:i/>
              </w:rPr>
              <w:t>The Paper Crane</w:t>
            </w:r>
            <w:r w:rsidRPr="00555924">
              <w:t>, Molly Bang</w:t>
            </w:r>
            <w:r>
              <w:t xml:space="preserve"> (Appendix B Exemplar)</w:t>
            </w:r>
          </w:p>
          <w:p w:rsidR="00917F4A" w:rsidRPr="00555924" w:rsidRDefault="00917F4A" w:rsidP="00C95556">
            <w:pPr>
              <w:pStyle w:val="ListParagraph"/>
              <w:numPr>
                <w:ilvl w:val="0"/>
                <w:numId w:val="9"/>
              </w:numPr>
              <w:ind w:left="342" w:hanging="270"/>
            </w:pPr>
            <w:r w:rsidRPr="00555924">
              <w:rPr>
                <w:i/>
              </w:rPr>
              <w:t>The Kamishibai Man</w:t>
            </w:r>
            <w:r w:rsidRPr="00555924">
              <w:t>, Allen Say</w:t>
            </w:r>
          </w:p>
          <w:p w:rsidR="00917F4A" w:rsidRPr="00555924" w:rsidRDefault="00917F4A" w:rsidP="00C95556">
            <w:pPr>
              <w:pStyle w:val="ListParagraph"/>
              <w:numPr>
                <w:ilvl w:val="0"/>
                <w:numId w:val="9"/>
              </w:numPr>
              <w:ind w:left="342" w:hanging="270"/>
            </w:pPr>
            <w:r w:rsidRPr="00555924">
              <w:rPr>
                <w:i/>
              </w:rPr>
              <w:t>The Stranger</w:t>
            </w:r>
            <w:r w:rsidRPr="00555924">
              <w:t>, Chris Van Allsburg</w:t>
            </w:r>
          </w:p>
          <w:p w:rsidR="00917F4A" w:rsidRPr="00555924" w:rsidRDefault="00917F4A" w:rsidP="00C95556">
            <w:pPr>
              <w:pStyle w:val="ListParagraph"/>
              <w:numPr>
                <w:ilvl w:val="0"/>
                <w:numId w:val="9"/>
              </w:numPr>
              <w:ind w:left="342" w:hanging="270"/>
            </w:pPr>
            <w:r w:rsidRPr="00555924">
              <w:rPr>
                <w:i/>
              </w:rPr>
              <w:t>The Little House</w:t>
            </w:r>
            <w:r w:rsidRPr="00555924">
              <w:t>, Virginia Lee Burton</w:t>
            </w:r>
          </w:p>
          <w:p w:rsidR="00917F4A" w:rsidRPr="00555924" w:rsidRDefault="00917F4A" w:rsidP="00CC00ED">
            <w:pPr>
              <w:spacing w:before="120"/>
              <w:contextualSpacing/>
              <w:rPr>
                <w:i/>
                <w:u w:val="single"/>
              </w:rPr>
            </w:pPr>
            <w:r w:rsidRPr="00555924">
              <w:rPr>
                <w:i/>
                <w:u w:val="single"/>
              </w:rPr>
              <w:t>Informational Texts</w:t>
            </w:r>
          </w:p>
          <w:p w:rsidR="00917F4A" w:rsidRPr="00555924" w:rsidRDefault="00917F4A" w:rsidP="00C95556">
            <w:pPr>
              <w:pStyle w:val="ListParagraph"/>
              <w:numPr>
                <w:ilvl w:val="0"/>
                <w:numId w:val="11"/>
              </w:numPr>
              <w:ind w:left="346" w:hanging="274"/>
              <w:contextualSpacing w:val="0"/>
              <w:rPr>
                <w:i/>
                <w:u w:val="single"/>
              </w:rPr>
            </w:pPr>
            <w:r w:rsidRPr="00555924">
              <w:rPr>
                <w:i/>
              </w:rPr>
              <w:t>Who’s Buying? Who’s Selling?: Understanding Consumers and Producers</w:t>
            </w:r>
            <w:r w:rsidRPr="00555924">
              <w:t>, Jennifer S. Larson</w:t>
            </w:r>
          </w:p>
          <w:p w:rsidR="00917F4A" w:rsidRPr="00555924" w:rsidRDefault="00917F4A" w:rsidP="00C95556">
            <w:pPr>
              <w:pStyle w:val="ListParagraph"/>
              <w:numPr>
                <w:ilvl w:val="0"/>
                <w:numId w:val="11"/>
              </w:numPr>
              <w:ind w:left="346" w:hanging="274"/>
              <w:contextualSpacing w:val="0"/>
              <w:rPr>
                <w:i/>
                <w:u w:val="single"/>
              </w:rPr>
            </w:pPr>
            <w:r w:rsidRPr="00555924">
              <w:t xml:space="preserve">Excerpts from </w:t>
            </w:r>
            <w:r w:rsidRPr="00555924">
              <w:rPr>
                <w:i/>
              </w:rPr>
              <w:t>Horse-Drawn Days: A Century of Farming with Horses</w:t>
            </w:r>
            <w:r w:rsidRPr="00555924">
              <w:t>, Jerry Apps (Read Aloud)</w:t>
            </w:r>
          </w:p>
          <w:p w:rsidR="00917F4A" w:rsidRPr="00555924" w:rsidRDefault="00917F4A" w:rsidP="00CC00ED">
            <w:pPr>
              <w:spacing w:before="120"/>
              <w:rPr>
                <w:i/>
                <w:u w:val="single"/>
              </w:rPr>
            </w:pPr>
            <w:r w:rsidRPr="00555924">
              <w:rPr>
                <w:i/>
                <w:u w:val="single"/>
              </w:rPr>
              <w:t>Nonprint Texts</w:t>
            </w:r>
            <w:r w:rsidRPr="00555924">
              <w:rPr>
                <w:i/>
              </w:rPr>
              <w:t xml:space="preserve"> (e.g., Media, Website, Video, Film, Music, Art, Graphics</w:t>
            </w:r>
          </w:p>
          <w:p w:rsidR="00917F4A" w:rsidRPr="00555924" w:rsidRDefault="00917F4A" w:rsidP="00821451">
            <w:pPr>
              <w:pStyle w:val="ListParagraph"/>
              <w:numPr>
                <w:ilvl w:val="0"/>
                <w:numId w:val="17"/>
              </w:numPr>
              <w:ind w:left="342" w:hanging="270"/>
            </w:pPr>
            <w:r w:rsidRPr="00555924">
              <w:rPr>
                <w:i/>
              </w:rPr>
              <w:t>Window</w:t>
            </w:r>
            <w:r w:rsidRPr="00555924">
              <w:t>, Jeannie Baker (Wordless Picture Book)</w:t>
            </w:r>
          </w:p>
        </w:tc>
        <w:tc>
          <w:tcPr>
            <w:tcW w:w="4050" w:type="dxa"/>
            <w:vMerge w:val="restart"/>
          </w:tcPr>
          <w:p w:rsidR="00917F4A" w:rsidRPr="00555924" w:rsidRDefault="00917F4A" w:rsidP="00CC00ED">
            <w:pPr>
              <w:spacing w:after="120"/>
              <w:rPr>
                <w:b/>
              </w:rPr>
            </w:pPr>
            <w:r w:rsidRPr="00555924">
              <w:rPr>
                <w:b/>
              </w:rPr>
              <w:t>Building Student Knowledge</w:t>
            </w:r>
          </w:p>
          <w:p w:rsidR="00917F4A" w:rsidRPr="00555924" w:rsidRDefault="00917F4A" w:rsidP="00E06B42">
            <w:r w:rsidRPr="00555924">
              <w:t>Students build their knowledge of the agricultural history of the US economy and how families made choices to meet their basic needs. Students will come to understand how life changes over time and identify some of the causes of those changes.  This connects to social studies.</w:t>
            </w:r>
          </w:p>
        </w:tc>
        <w:tc>
          <w:tcPr>
            <w:tcW w:w="2790" w:type="dxa"/>
            <w:shd w:val="clear" w:color="auto" w:fill="D9D9D9" w:themeFill="background1" w:themeFillShade="D9"/>
          </w:tcPr>
          <w:p w:rsidR="00917F4A" w:rsidRPr="00555924" w:rsidRDefault="006876B5" w:rsidP="00A23C4D">
            <w:pPr>
              <w:rPr>
                <w:b/>
              </w:rPr>
            </w:pPr>
            <w:hyperlink r:id="rId44" w:history="1">
              <w:r w:rsidR="00917F4A" w:rsidRPr="00917F4A">
                <w:rPr>
                  <w:rStyle w:val="Hyperlink"/>
                  <w:b/>
                </w:rPr>
                <w:t>Possible Common Core State Standards</w:t>
              </w:r>
            </w:hyperlink>
          </w:p>
        </w:tc>
      </w:tr>
      <w:tr w:rsidR="00555924" w:rsidRPr="00555924" w:rsidTr="005F4B34">
        <w:trPr>
          <w:trHeight w:val="735"/>
        </w:trPr>
        <w:tc>
          <w:tcPr>
            <w:tcW w:w="1170" w:type="dxa"/>
            <w:vMerge/>
            <w:shd w:val="clear" w:color="auto" w:fill="D9D9D9" w:themeFill="background1" w:themeFillShade="D9"/>
          </w:tcPr>
          <w:p w:rsidR="008621E4" w:rsidRPr="00555924" w:rsidRDefault="008621E4" w:rsidP="00CC00ED">
            <w:pPr>
              <w:spacing w:after="120"/>
              <w:contextualSpacing/>
              <w:rPr>
                <w:b/>
              </w:rPr>
            </w:pPr>
          </w:p>
        </w:tc>
        <w:tc>
          <w:tcPr>
            <w:tcW w:w="3150" w:type="dxa"/>
            <w:vMerge/>
          </w:tcPr>
          <w:p w:rsidR="008621E4" w:rsidRPr="00555924" w:rsidRDefault="008621E4" w:rsidP="00CC00ED">
            <w:pPr>
              <w:spacing w:after="120"/>
              <w:rPr>
                <w:b/>
              </w:rPr>
            </w:pPr>
          </w:p>
        </w:tc>
        <w:tc>
          <w:tcPr>
            <w:tcW w:w="3420" w:type="dxa"/>
            <w:vMerge/>
          </w:tcPr>
          <w:p w:rsidR="008621E4" w:rsidRPr="00555924" w:rsidRDefault="008621E4" w:rsidP="00CC00ED">
            <w:pPr>
              <w:spacing w:after="120"/>
              <w:rPr>
                <w:b/>
              </w:rPr>
            </w:pPr>
          </w:p>
        </w:tc>
        <w:tc>
          <w:tcPr>
            <w:tcW w:w="4050" w:type="dxa"/>
            <w:vMerge/>
          </w:tcPr>
          <w:p w:rsidR="008621E4" w:rsidRPr="00555924" w:rsidRDefault="008621E4" w:rsidP="00CC00ED">
            <w:pPr>
              <w:spacing w:after="120"/>
              <w:rPr>
                <w:b/>
              </w:rPr>
            </w:pPr>
          </w:p>
        </w:tc>
        <w:tc>
          <w:tcPr>
            <w:tcW w:w="2790" w:type="dxa"/>
          </w:tcPr>
          <w:p w:rsidR="008621E4" w:rsidRPr="00555924" w:rsidRDefault="008621E4" w:rsidP="008621E4">
            <w:pPr>
              <w:spacing w:after="120"/>
              <w:rPr>
                <w:b/>
              </w:rPr>
            </w:pPr>
            <w:r w:rsidRPr="00555924">
              <w:rPr>
                <w:b/>
              </w:rPr>
              <w:t>Reading</w:t>
            </w:r>
          </w:p>
          <w:p w:rsidR="008621E4" w:rsidRPr="00555924" w:rsidRDefault="008621E4" w:rsidP="008621E4">
            <w:r w:rsidRPr="00555924">
              <w:t>RL.2.1, RL.2.2, RL.2.3, RL.2.5, RL.2.6, RL.2.7, RL.2.10</w:t>
            </w:r>
          </w:p>
          <w:p w:rsidR="008621E4" w:rsidRPr="00555924" w:rsidRDefault="008621E4" w:rsidP="008621E4">
            <w:pPr>
              <w:rPr>
                <w:b/>
              </w:rPr>
            </w:pPr>
            <w:r w:rsidRPr="00555924">
              <w:t>RI.2.1, RI.2.2, RI.2.3, RI.2.4, RI.2.10</w:t>
            </w:r>
          </w:p>
        </w:tc>
      </w:tr>
      <w:tr w:rsidR="00555924" w:rsidRPr="00555924" w:rsidTr="005F4B34">
        <w:trPr>
          <w:trHeight w:val="575"/>
        </w:trPr>
        <w:tc>
          <w:tcPr>
            <w:tcW w:w="1170" w:type="dxa"/>
            <w:vMerge/>
            <w:shd w:val="clear" w:color="auto" w:fill="D9D9D9" w:themeFill="background1" w:themeFillShade="D9"/>
          </w:tcPr>
          <w:p w:rsidR="008621E4" w:rsidRPr="00555924" w:rsidRDefault="008621E4" w:rsidP="00CC00ED">
            <w:pPr>
              <w:spacing w:after="120"/>
              <w:contextualSpacing/>
              <w:rPr>
                <w:b/>
              </w:rPr>
            </w:pPr>
          </w:p>
        </w:tc>
        <w:tc>
          <w:tcPr>
            <w:tcW w:w="3150" w:type="dxa"/>
            <w:vMerge/>
          </w:tcPr>
          <w:p w:rsidR="008621E4" w:rsidRPr="00555924" w:rsidRDefault="008621E4" w:rsidP="00CC00ED">
            <w:pPr>
              <w:spacing w:after="120"/>
              <w:contextualSpacing/>
              <w:rPr>
                <w:b/>
              </w:rPr>
            </w:pPr>
          </w:p>
        </w:tc>
        <w:tc>
          <w:tcPr>
            <w:tcW w:w="3420" w:type="dxa"/>
            <w:vMerge/>
          </w:tcPr>
          <w:p w:rsidR="008621E4" w:rsidRPr="00555924" w:rsidRDefault="008621E4" w:rsidP="00CC00ED">
            <w:pPr>
              <w:spacing w:after="120"/>
              <w:contextualSpacing/>
              <w:rPr>
                <w:b/>
              </w:rPr>
            </w:pPr>
          </w:p>
        </w:tc>
        <w:tc>
          <w:tcPr>
            <w:tcW w:w="4050" w:type="dxa"/>
            <w:vMerge/>
          </w:tcPr>
          <w:p w:rsidR="008621E4" w:rsidRPr="00555924" w:rsidRDefault="008621E4" w:rsidP="00CC00ED">
            <w:pPr>
              <w:spacing w:after="120"/>
              <w:rPr>
                <w:b/>
              </w:rPr>
            </w:pPr>
          </w:p>
        </w:tc>
        <w:tc>
          <w:tcPr>
            <w:tcW w:w="2790" w:type="dxa"/>
          </w:tcPr>
          <w:p w:rsidR="008621E4" w:rsidRPr="00555924" w:rsidRDefault="006C22BC" w:rsidP="00CC00ED">
            <w:pPr>
              <w:spacing w:after="120"/>
              <w:rPr>
                <w:b/>
              </w:rPr>
            </w:pPr>
            <w:r>
              <w:rPr>
                <w:b/>
              </w:rPr>
              <w:t xml:space="preserve">Reading Standards: </w:t>
            </w:r>
            <w:r w:rsidRPr="000D39D5">
              <w:rPr>
                <w:b/>
              </w:rPr>
              <w:t>Foundational Skills</w:t>
            </w:r>
            <w:r>
              <w:rPr>
                <w:b/>
              </w:rPr>
              <w:t xml:space="preserve"> </w:t>
            </w:r>
            <w:r w:rsidRPr="00D243D5">
              <w:rPr>
                <w:rStyle w:val="FootnoteReference"/>
                <w:b/>
                <w:sz w:val="24"/>
                <w:szCs w:val="24"/>
              </w:rPr>
              <w:footnoteReference w:id="8"/>
            </w:r>
          </w:p>
          <w:p w:rsidR="008621E4" w:rsidRPr="00555924" w:rsidRDefault="008621E4" w:rsidP="00E06B42">
            <w:pPr>
              <w:rPr>
                <w:b/>
              </w:rPr>
            </w:pPr>
            <w:r w:rsidRPr="00555924">
              <w:t>RF.2.3a-f, RF.2.4a</w:t>
            </w:r>
          </w:p>
        </w:tc>
      </w:tr>
      <w:tr w:rsidR="00555924" w:rsidRPr="00555924" w:rsidTr="005F4B34">
        <w:trPr>
          <w:trHeight w:val="638"/>
        </w:trPr>
        <w:tc>
          <w:tcPr>
            <w:tcW w:w="1170" w:type="dxa"/>
            <w:vMerge/>
            <w:shd w:val="clear" w:color="auto" w:fill="D9D9D9" w:themeFill="background1" w:themeFillShade="D9"/>
          </w:tcPr>
          <w:p w:rsidR="008621E4" w:rsidRPr="00555924" w:rsidRDefault="008621E4" w:rsidP="00CC00ED">
            <w:pPr>
              <w:spacing w:after="120"/>
              <w:contextualSpacing/>
              <w:rPr>
                <w:b/>
              </w:rPr>
            </w:pPr>
          </w:p>
        </w:tc>
        <w:tc>
          <w:tcPr>
            <w:tcW w:w="3150" w:type="dxa"/>
            <w:vMerge w:val="restart"/>
          </w:tcPr>
          <w:p w:rsidR="008621E4" w:rsidRPr="00555924" w:rsidRDefault="008621E4" w:rsidP="00CC00ED">
            <w:pPr>
              <w:spacing w:after="120"/>
              <w:rPr>
                <w:b/>
              </w:rPr>
            </w:pPr>
            <w:r w:rsidRPr="00555924">
              <w:rPr>
                <w:b/>
              </w:rPr>
              <w:t>Text Complexity Rationale</w:t>
            </w:r>
          </w:p>
          <w:p w:rsidR="008621E4" w:rsidRPr="00555924" w:rsidRDefault="008621E4" w:rsidP="00CC00ED">
            <w:pPr>
              <w:spacing w:after="120"/>
              <w:rPr>
                <w:b/>
              </w:rPr>
            </w:pPr>
            <w:r w:rsidRPr="00555924">
              <w:t xml:space="preserve">The anchor text is highly complex and will need some student scaffolding as it is read aloud. The related texts contain similarly complex ideas, which are likely to challenge students even though the readabilities of the texts still represent a range of complexities. This unit draws on the work students have done with complex </w:t>
            </w:r>
            <w:r w:rsidR="00C43D01">
              <w:t xml:space="preserve">texts </w:t>
            </w:r>
            <w:r w:rsidRPr="00555924">
              <w:t>throughout grade 2 and prepares students for the levels of texts they’ll encounter in grade 3.</w:t>
            </w:r>
          </w:p>
        </w:tc>
        <w:tc>
          <w:tcPr>
            <w:tcW w:w="3420" w:type="dxa"/>
            <w:vMerge/>
          </w:tcPr>
          <w:p w:rsidR="008621E4" w:rsidRPr="00555924" w:rsidRDefault="008621E4" w:rsidP="00CC00ED">
            <w:pPr>
              <w:spacing w:after="120"/>
              <w:contextualSpacing/>
              <w:rPr>
                <w:b/>
              </w:rPr>
            </w:pPr>
          </w:p>
        </w:tc>
        <w:tc>
          <w:tcPr>
            <w:tcW w:w="4050" w:type="dxa"/>
            <w:vMerge w:val="restart"/>
          </w:tcPr>
          <w:p w:rsidR="008621E4" w:rsidRPr="00555924" w:rsidRDefault="008621E4" w:rsidP="00CC00ED">
            <w:pPr>
              <w:rPr>
                <w:b/>
              </w:rPr>
            </w:pPr>
            <w:r w:rsidRPr="00555924">
              <w:rPr>
                <w:b/>
              </w:rPr>
              <w:t>Sample Shared Research and Writing</w:t>
            </w:r>
          </w:p>
          <w:p w:rsidR="008621E4" w:rsidRPr="00555924" w:rsidRDefault="008621E4" w:rsidP="00CC00ED">
            <w:pPr>
              <w:spacing w:before="120"/>
            </w:pPr>
            <w:r w:rsidRPr="00555924">
              <w:t xml:space="preserve">Have student work in groups to develop questions to ask their parents, grandparents, or other adult relatives about what it was like when they grew up. Some sample questions might include the following: </w:t>
            </w:r>
          </w:p>
          <w:p w:rsidR="008621E4" w:rsidRPr="00555924" w:rsidRDefault="008621E4" w:rsidP="00C95556">
            <w:pPr>
              <w:numPr>
                <w:ilvl w:val="0"/>
                <w:numId w:val="16"/>
              </w:numPr>
              <w:tabs>
                <w:tab w:val="clear" w:pos="720"/>
              </w:tabs>
              <w:ind w:left="342" w:hanging="270"/>
            </w:pPr>
            <w:r w:rsidRPr="00555924">
              <w:t>Where and when</w:t>
            </w:r>
            <w:r w:rsidRPr="00555924">
              <w:rPr>
                <w:b/>
              </w:rPr>
              <w:t xml:space="preserve"> </w:t>
            </w:r>
            <w:r w:rsidRPr="00555924">
              <w:t xml:space="preserve">did you grow up? </w:t>
            </w:r>
          </w:p>
          <w:p w:rsidR="008621E4" w:rsidRPr="00555924" w:rsidRDefault="008621E4" w:rsidP="00C95556">
            <w:pPr>
              <w:numPr>
                <w:ilvl w:val="0"/>
                <w:numId w:val="16"/>
              </w:numPr>
              <w:tabs>
                <w:tab w:val="clear" w:pos="720"/>
              </w:tabs>
              <w:ind w:left="342" w:hanging="270"/>
            </w:pPr>
            <w:r w:rsidRPr="00555924">
              <w:t>What did the place where you grew up</w:t>
            </w:r>
            <w:r w:rsidRPr="00555924">
              <w:rPr>
                <w:b/>
              </w:rPr>
              <w:t xml:space="preserve"> </w:t>
            </w:r>
            <w:r w:rsidRPr="00555924">
              <w:t xml:space="preserve">look like? </w:t>
            </w:r>
          </w:p>
          <w:p w:rsidR="008621E4" w:rsidRPr="00555924" w:rsidRDefault="008621E4" w:rsidP="00C95556">
            <w:pPr>
              <w:numPr>
                <w:ilvl w:val="0"/>
                <w:numId w:val="16"/>
              </w:numPr>
              <w:tabs>
                <w:tab w:val="clear" w:pos="720"/>
              </w:tabs>
              <w:ind w:left="342" w:hanging="270"/>
            </w:pPr>
            <w:r w:rsidRPr="00555924">
              <w:t xml:space="preserve">How has that place changed since you grew up? </w:t>
            </w:r>
          </w:p>
          <w:p w:rsidR="008621E4" w:rsidRPr="00555924" w:rsidRDefault="008621E4" w:rsidP="00C95556">
            <w:pPr>
              <w:numPr>
                <w:ilvl w:val="0"/>
                <w:numId w:val="16"/>
              </w:numPr>
              <w:tabs>
                <w:tab w:val="clear" w:pos="720"/>
              </w:tabs>
              <w:ind w:left="342" w:hanging="270"/>
            </w:pPr>
            <w:r w:rsidRPr="00555924">
              <w:t>What were the best and worst things about the place where you grew up?</w:t>
            </w:r>
          </w:p>
          <w:p w:rsidR="008621E4" w:rsidRPr="00555924" w:rsidRDefault="008621E4" w:rsidP="00CC00ED">
            <w:pPr>
              <w:rPr>
                <w:b/>
              </w:rPr>
            </w:pPr>
            <w:r w:rsidRPr="00555924">
              <w:t>Have students interview their adult relative and produce a written report to share with the class.</w:t>
            </w:r>
          </w:p>
        </w:tc>
        <w:tc>
          <w:tcPr>
            <w:tcW w:w="2790" w:type="dxa"/>
          </w:tcPr>
          <w:p w:rsidR="008621E4" w:rsidRPr="00555924" w:rsidRDefault="008621E4" w:rsidP="00CC00ED">
            <w:pPr>
              <w:spacing w:after="120"/>
              <w:rPr>
                <w:b/>
              </w:rPr>
            </w:pPr>
            <w:r w:rsidRPr="00555924">
              <w:rPr>
                <w:b/>
              </w:rPr>
              <w:t>Writing</w:t>
            </w:r>
          </w:p>
          <w:p w:rsidR="008621E4" w:rsidRPr="00555924" w:rsidRDefault="008621E4" w:rsidP="00CC00ED">
            <w:pPr>
              <w:rPr>
                <w:b/>
              </w:rPr>
            </w:pPr>
            <w:r w:rsidRPr="00555924">
              <w:t>W.2.1, W.2.2, W.2.5, W.2.6, W.2.7, W.2.8</w:t>
            </w:r>
          </w:p>
        </w:tc>
      </w:tr>
      <w:tr w:rsidR="00555924" w:rsidRPr="00555924" w:rsidTr="005F4B34">
        <w:trPr>
          <w:trHeight w:val="620"/>
        </w:trPr>
        <w:tc>
          <w:tcPr>
            <w:tcW w:w="1170" w:type="dxa"/>
            <w:vMerge/>
            <w:shd w:val="clear" w:color="auto" w:fill="D9D9D9" w:themeFill="background1" w:themeFillShade="D9"/>
          </w:tcPr>
          <w:p w:rsidR="008621E4" w:rsidRPr="00555924" w:rsidRDefault="008621E4" w:rsidP="00CC00ED">
            <w:pPr>
              <w:spacing w:after="120"/>
              <w:rPr>
                <w:b/>
              </w:rPr>
            </w:pPr>
          </w:p>
        </w:tc>
        <w:tc>
          <w:tcPr>
            <w:tcW w:w="3150" w:type="dxa"/>
            <w:vMerge/>
          </w:tcPr>
          <w:p w:rsidR="008621E4" w:rsidRPr="00555924" w:rsidRDefault="008621E4" w:rsidP="00CC00ED">
            <w:pPr>
              <w:spacing w:after="120"/>
              <w:rPr>
                <w:b/>
              </w:rPr>
            </w:pPr>
          </w:p>
        </w:tc>
        <w:tc>
          <w:tcPr>
            <w:tcW w:w="3420" w:type="dxa"/>
            <w:vMerge/>
          </w:tcPr>
          <w:p w:rsidR="008621E4" w:rsidRPr="00555924" w:rsidRDefault="008621E4" w:rsidP="00CC00ED">
            <w:pPr>
              <w:contextualSpacing/>
              <w:rPr>
                <w:b/>
              </w:rPr>
            </w:pPr>
          </w:p>
        </w:tc>
        <w:tc>
          <w:tcPr>
            <w:tcW w:w="4050" w:type="dxa"/>
            <w:vMerge/>
          </w:tcPr>
          <w:p w:rsidR="008621E4" w:rsidRPr="00555924" w:rsidRDefault="008621E4" w:rsidP="00CC00ED"/>
        </w:tc>
        <w:tc>
          <w:tcPr>
            <w:tcW w:w="2790" w:type="dxa"/>
          </w:tcPr>
          <w:p w:rsidR="008621E4" w:rsidRPr="00555924" w:rsidRDefault="008621E4" w:rsidP="00CC00ED">
            <w:pPr>
              <w:spacing w:after="120"/>
              <w:rPr>
                <w:b/>
              </w:rPr>
            </w:pPr>
            <w:r w:rsidRPr="00555924">
              <w:rPr>
                <w:b/>
              </w:rPr>
              <w:t xml:space="preserve">Speaking and Listening </w:t>
            </w:r>
          </w:p>
          <w:p w:rsidR="008621E4" w:rsidRPr="00555924" w:rsidRDefault="008621E4" w:rsidP="00CC00ED">
            <w:r w:rsidRPr="00555924">
              <w:t>SL.2.1a-c, SL.2.2, SL.2.3, SL.2.4, SL.2.5, SL.2.6</w:t>
            </w:r>
          </w:p>
        </w:tc>
      </w:tr>
      <w:tr w:rsidR="00555924" w:rsidRPr="00555924" w:rsidTr="005F4B34">
        <w:trPr>
          <w:trHeight w:val="773"/>
        </w:trPr>
        <w:tc>
          <w:tcPr>
            <w:tcW w:w="1170" w:type="dxa"/>
            <w:vMerge/>
            <w:shd w:val="clear" w:color="auto" w:fill="D9D9D9" w:themeFill="background1" w:themeFillShade="D9"/>
          </w:tcPr>
          <w:p w:rsidR="008621E4" w:rsidRPr="00555924" w:rsidRDefault="008621E4" w:rsidP="00CC00ED">
            <w:pPr>
              <w:spacing w:after="120"/>
              <w:rPr>
                <w:b/>
              </w:rPr>
            </w:pPr>
          </w:p>
        </w:tc>
        <w:tc>
          <w:tcPr>
            <w:tcW w:w="3150" w:type="dxa"/>
            <w:vMerge/>
          </w:tcPr>
          <w:p w:rsidR="008621E4" w:rsidRPr="00555924" w:rsidRDefault="008621E4" w:rsidP="00CC00ED">
            <w:pPr>
              <w:spacing w:after="120"/>
              <w:rPr>
                <w:b/>
              </w:rPr>
            </w:pPr>
          </w:p>
        </w:tc>
        <w:tc>
          <w:tcPr>
            <w:tcW w:w="3420" w:type="dxa"/>
            <w:vMerge/>
          </w:tcPr>
          <w:p w:rsidR="008621E4" w:rsidRPr="00555924" w:rsidRDefault="008621E4" w:rsidP="00CC00ED">
            <w:pPr>
              <w:contextualSpacing/>
              <w:rPr>
                <w:b/>
              </w:rPr>
            </w:pPr>
          </w:p>
        </w:tc>
        <w:tc>
          <w:tcPr>
            <w:tcW w:w="4050" w:type="dxa"/>
            <w:vMerge/>
          </w:tcPr>
          <w:p w:rsidR="008621E4" w:rsidRPr="00555924" w:rsidRDefault="008621E4" w:rsidP="00CC00ED">
            <w:pPr>
              <w:rPr>
                <w:b/>
              </w:rPr>
            </w:pPr>
          </w:p>
        </w:tc>
        <w:tc>
          <w:tcPr>
            <w:tcW w:w="2790" w:type="dxa"/>
          </w:tcPr>
          <w:p w:rsidR="008621E4" w:rsidRPr="00555924" w:rsidRDefault="008621E4" w:rsidP="00CC00ED">
            <w:pPr>
              <w:spacing w:after="120"/>
              <w:rPr>
                <w:b/>
              </w:rPr>
            </w:pPr>
            <w:r w:rsidRPr="00555924">
              <w:rPr>
                <w:b/>
              </w:rPr>
              <w:t>Language</w:t>
            </w:r>
          </w:p>
          <w:p w:rsidR="008621E4" w:rsidRPr="00555924" w:rsidRDefault="008621E4" w:rsidP="00ED6D88">
            <w:r w:rsidRPr="00555924">
              <w:t>L.2.1a-</w:t>
            </w:r>
            <w:r w:rsidR="00ED6D88">
              <w:t>f, L.2.2a-e, L.2.3a, L.2.4a-c, L.2.5a-b</w:t>
            </w:r>
            <w:r w:rsidRPr="00555924">
              <w:t>, L.2.6</w:t>
            </w:r>
          </w:p>
        </w:tc>
      </w:tr>
    </w:tbl>
    <w:p w:rsidR="00C95556" w:rsidRDefault="00C95556" w:rsidP="00C95556">
      <w:pPr>
        <w:spacing w:after="0" w:line="240" w:lineRule="auto"/>
      </w:pPr>
    </w:p>
    <w:sectPr w:rsidR="00C95556" w:rsidSect="001228BB">
      <w:headerReference w:type="default" r:id="rId45"/>
      <w:pgSz w:w="15840" w:h="12240" w:orient="landscape" w:code="1"/>
      <w:pgMar w:top="720" w:right="720" w:bottom="720" w:left="720" w:header="54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6B5" w:rsidRDefault="006876B5" w:rsidP="00DB0209">
      <w:pPr>
        <w:spacing w:after="0" w:line="240" w:lineRule="auto"/>
      </w:pPr>
      <w:r>
        <w:separator/>
      </w:r>
    </w:p>
  </w:endnote>
  <w:endnote w:type="continuationSeparator" w:id="0">
    <w:p w:rsidR="006876B5" w:rsidRDefault="006876B5" w:rsidP="00D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otham-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Book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8BB" w:rsidRDefault="00122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017173"/>
      <w:docPartObj>
        <w:docPartGallery w:val="Page Numbers (Bottom of Page)"/>
        <w:docPartUnique/>
      </w:docPartObj>
    </w:sdtPr>
    <w:sdtEndPr>
      <w:rPr>
        <w:noProof/>
      </w:rPr>
    </w:sdtEndPr>
    <w:sdtContent>
      <w:p w:rsidR="003E28D6" w:rsidRDefault="003E28D6" w:rsidP="001228BB">
        <w:pPr>
          <w:pStyle w:val="Footer"/>
          <w:ind w:right="90"/>
          <w:jc w:val="right"/>
        </w:pPr>
        <w:r>
          <w:fldChar w:fldCharType="begin"/>
        </w:r>
        <w:r>
          <w:instrText xml:space="preserve"> PAGE   \* MERGEFORMAT </w:instrText>
        </w:r>
        <w:r>
          <w:fldChar w:fldCharType="separate"/>
        </w:r>
        <w:r w:rsidR="00056A1C">
          <w:rPr>
            <w:noProof/>
          </w:rPr>
          <w:t>1</w:t>
        </w:r>
        <w:r>
          <w:rPr>
            <w:noProof/>
          </w:rPr>
          <w:fldChar w:fldCharType="end"/>
        </w:r>
      </w:p>
    </w:sdtContent>
  </w:sdt>
  <w:p w:rsidR="003E28D6" w:rsidRDefault="003E28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8BB" w:rsidRDefault="00122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6B5" w:rsidRDefault="006876B5" w:rsidP="00DB0209">
      <w:pPr>
        <w:spacing w:after="0" w:line="240" w:lineRule="auto"/>
      </w:pPr>
      <w:r>
        <w:separator/>
      </w:r>
    </w:p>
  </w:footnote>
  <w:footnote w:type="continuationSeparator" w:id="0">
    <w:p w:rsidR="006876B5" w:rsidRDefault="006876B5" w:rsidP="00DB0209">
      <w:pPr>
        <w:spacing w:after="0" w:line="240" w:lineRule="auto"/>
      </w:pPr>
      <w:r>
        <w:continuationSeparator/>
      </w:r>
    </w:p>
  </w:footnote>
  <w:footnote w:id="1">
    <w:p w:rsidR="00EC583A" w:rsidRDefault="00EC583A">
      <w:pPr>
        <w:pStyle w:val="FootnoteText"/>
      </w:pPr>
      <w:r w:rsidRPr="00FD1EE3">
        <w:rPr>
          <w:rStyle w:val="FootnoteReference"/>
        </w:rPr>
        <w:footnoteRef/>
      </w:r>
      <w:r w:rsidRPr="00FD1EE3">
        <w:t xml:space="preserve"> By the end of grade 2, </w:t>
      </w:r>
      <w:r w:rsidRPr="00FD1EE3">
        <w:rPr>
          <w:sz w:val="19"/>
          <w:szCs w:val="19"/>
        </w:rPr>
        <w:t xml:space="preserve">students are expected to demonstrate the ability to read and understand </w:t>
      </w:r>
      <w:r w:rsidR="00F821BE" w:rsidRPr="00FD1EE3">
        <w:rPr>
          <w:sz w:val="19"/>
          <w:szCs w:val="19"/>
        </w:rPr>
        <w:t xml:space="preserve">texts in </w:t>
      </w:r>
      <w:r w:rsidRPr="00FD1EE3">
        <w:rPr>
          <w:sz w:val="19"/>
          <w:szCs w:val="19"/>
        </w:rPr>
        <w:t xml:space="preserve">the grades 2-3 band proficiently, with scaffolding as needed at the high end of the range (RL.2.10, RI.2.10, and RF.2.4a-c). See </w:t>
      </w:r>
      <w:hyperlink r:id="rId1" w:history="1">
        <w:r w:rsidRPr="00FB4A4B">
          <w:rPr>
            <w:rStyle w:val="Hyperlink"/>
            <w:sz w:val="19"/>
            <w:szCs w:val="19"/>
          </w:rPr>
          <w:t>Guidance for Planning for Instruction in Grades K-2</w:t>
        </w:r>
      </w:hyperlink>
      <w:r w:rsidRPr="00FD1EE3">
        <w:rPr>
          <w:sz w:val="19"/>
          <w:szCs w:val="19"/>
        </w:rPr>
        <w:t xml:space="preserve"> for additional information about selecting texts for grade 2.</w:t>
      </w:r>
    </w:p>
  </w:footnote>
  <w:footnote w:id="2">
    <w:p w:rsidR="00C95556" w:rsidRPr="000337A5" w:rsidRDefault="00C95556" w:rsidP="00C95556">
      <w:pPr>
        <w:pStyle w:val="FootnoteText"/>
        <w:rPr>
          <w:sz w:val="19"/>
          <w:szCs w:val="19"/>
        </w:rPr>
      </w:pPr>
      <w:r w:rsidRPr="000337A5">
        <w:rPr>
          <w:rStyle w:val="FootnoteReference"/>
          <w:sz w:val="19"/>
          <w:szCs w:val="19"/>
        </w:rPr>
        <w:footnoteRef/>
      </w:r>
      <w:r w:rsidRPr="000337A5">
        <w:rPr>
          <w:sz w:val="19"/>
          <w:szCs w:val="19"/>
        </w:rPr>
        <w:t xml:space="preserve"> </w:t>
      </w:r>
      <w:r w:rsidR="00EC583A">
        <w:rPr>
          <w:sz w:val="19"/>
          <w:szCs w:val="19"/>
        </w:rPr>
        <w:t>For advanced readers</w:t>
      </w:r>
      <w:r w:rsidR="00D97660">
        <w:rPr>
          <w:sz w:val="19"/>
          <w:szCs w:val="19"/>
        </w:rPr>
        <w:t xml:space="preserve">, small-group instruction could involve rereading portions of whole-class texts and engaging in further investigation of texts written at their reading level. </w:t>
      </w:r>
    </w:p>
  </w:footnote>
  <w:footnote w:id="3">
    <w:p w:rsidR="00D86381" w:rsidRDefault="00D86381" w:rsidP="00D86381">
      <w:pPr>
        <w:pStyle w:val="FootnoteText"/>
      </w:pPr>
      <w:r>
        <w:rPr>
          <w:rStyle w:val="FootnoteReference"/>
        </w:rPr>
        <w:footnoteRef/>
      </w:r>
      <w:r>
        <w:t xml:space="preserve"> The listed Reading Standards: Foundational Skills are suggested for whole-class instruction </w:t>
      </w:r>
      <w:r w:rsidR="006C22BC">
        <w:t>using portions of the whole-class</w:t>
      </w:r>
      <w:r>
        <w:t xml:space="preserve"> texts or no text, when appropriate. Systematic and explicit instruction of the </w:t>
      </w:r>
      <w:hyperlink r:id="rId2" w:history="1">
        <w:r>
          <w:rPr>
            <w:rStyle w:val="Hyperlink"/>
          </w:rPr>
          <w:t>reading foundational skills</w:t>
        </w:r>
      </w:hyperlink>
      <w:r w:rsidRPr="003C0D84">
        <w:t xml:space="preserve"> should occur</w:t>
      </w:r>
      <w:r>
        <w:t xml:space="preserve"> through small-group literacy instruction and be based on individual student needs, focusing on a progression of subskills that are formally assessed at various points throughout the year. This plan does not address small-group literacy instruction or systematic and explicit instruction of the reading foundational skills.</w:t>
      </w:r>
    </w:p>
  </w:footnote>
  <w:footnote w:id="4">
    <w:p w:rsidR="008621E4" w:rsidRDefault="008621E4" w:rsidP="00C95556">
      <w:pPr>
        <w:pStyle w:val="FootnoteText"/>
      </w:pPr>
      <w:r>
        <w:rPr>
          <w:rStyle w:val="FootnoteReference"/>
        </w:rPr>
        <w:footnoteRef/>
      </w:r>
      <w:r>
        <w:t xml:space="preserve"> </w:t>
      </w:r>
      <w:r w:rsidR="00D86381" w:rsidRPr="0014602D">
        <w:t>“Shared Research and Writi</w:t>
      </w:r>
      <w:r w:rsidR="00D86381">
        <w:t>ng” refers to student-led</w:t>
      </w:r>
      <w:r w:rsidR="00D86381" w:rsidRPr="0014602D">
        <w:t xml:space="preserve"> inquiry activities</w:t>
      </w:r>
      <w:r w:rsidR="006C22BC">
        <w:t>; these are extension tasks</w:t>
      </w:r>
      <w:r w:rsidR="00D86381" w:rsidRPr="0014602D">
        <w:t xml:space="preserve"> that </w:t>
      </w:r>
      <w:r w:rsidR="00D86381">
        <w:t>allow students to make connections with texts. These activities should be done after students have read, written, and spoken about each individual text and demonstrated their understanding of the text. Additional reading and writing performance tasks with the texts are expected and indicated through the possible Reading and Writing Standards.</w:t>
      </w:r>
    </w:p>
  </w:footnote>
  <w:footnote w:id="5">
    <w:p w:rsidR="006C22BC" w:rsidRDefault="006C22BC" w:rsidP="006C22BC">
      <w:pPr>
        <w:pStyle w:val="FootnoteText"/>
      </w:pPr>
      <w:r>
        <w:rPr>
          <w:rStyle w:val="FootnoteReference"/>
        </w:rPr>
        <w:footnoteRef/>
      </w:r>
      <w:r>
        <w:t xml:space="preserve"> The listed Reading Standards: Foundational Skills are suggested for whole-class instruction using portions of the whole-class texts or no text, when appropriate. Systematic and explicit instruction of the </w:t>
      </w:r>
      <w:hyperlink r:id="rId3" w:history="1">
        <w:r>
          <w:rPr>
            <w:rStyle w:val="Hyperlink"/>
          </w:rPr>
          <w:t>reading foundational skills</w:t>
        </w:r>
      </w:hyperlink>
      <w:r w:rsidRPr="003C0D84">
        <w:t xml:space="preserve"> should occur</w:t>
      </w:r>
      <w:r>
        <w:t xml:space="preserve"> through small-group literacy instruction and be based on individual student needs, focusing on a progression of subskills that are formally assessed at various points throughout the year. This plan does not address small-group literacy instruction or systematic and explicit instruction of the reading foundational skills.</w:t>
      </w:r>
    </w:p>
  </w:footnote>
  <w:footnote w:id="6">
    <w:p w:rsidR="006C22BC" w:rsidRDefault="006C22BC" w:rsidP="006C22BC">
      <w:pPr>
        <w:pStyle w:val="FootnoteText"/>
      </w:pPr>
      <w:r>
        <w:rPr>
          <w:rStyle w:val="FootnoteReference"/>
        </w:rPr>
        <w:footnoteRef/>
      </w:r>
      <w:r>
        <w:t xml:space="preserve"> The listed Reading Standards: Foundational Skills are suggested for whole-class instruction using portions of the whole-class texts or no text, when appropriate. Systematic and explicit instruction of the </w:t>
      </w:r>
      <w:hyperlink r:id="rId4" w:history="1">
        <w:r>
          <w:rPr>
            <w:rStyle w:val="Hyperlink"/>
          </w:rPr>
          <w:t>reading foundational skills</w:t>
        </w:r>
      </w:hyperlink>
      <w:r w:rsidRPr="003C0D84">
        <w:t xml:space="preserve"> should occur</w:t>
      </w:r>
      <w:r>
        <w:t xml:space="preserve"> through small-group literacy instruction and be based on individual student needs, focusing on a progression of subskills that are formally assessed at various points throughout the year. This plan does not address small-group literacy instruction or systematic and explicit instruction of the reading foundational skills.</w:t>
      </w:r>
    </w:p>
  </w:footnote>
  <w:footnote w:id="7">
    <w:p w:rsidR="006C22BC" w:rsidRDefault="006C22BC" w:rsidP="006C22BC">
      <w:pPr>
        <w:pStyle w:val="FootnoteText"/>
      </w:pPr>
      <w:r>
        <w:rPr>
          <w:rStyle w:val="FootnoteReference"/>
        </w:rPr>
        <w:footnoteRef/>
      </w:r>
      <w:r>
        <w:t xml:space="preserve"> The listed Reading Standards: Foundational Skills are suggested for whole-class instruction using portions of the whole-class texts or no text, when appropriate. Systematic and explicit instruction of the </w:t>
      </w:r>
      <w:hyperlink r:id="rId5" w:history="1">
        <w:r>
          <w:rPr>
            <w:rStyle w:val="Hyperlink"/>
          </w:rPr>
          <w:t>reading foundational skills</w:t>
        </w:r>
      </w:hyperlink>
      <w:r w:rsidRPr="003C0D84">
        <w:t xml:space="preserve"> should occur</w:t>
      </w:r>
      <w:r>
        <w:t xml:space="preserve"> through small-group literacy instruction and be based on individual student needs, focusing on a progression of subskills that are formally assessed at various points throughout the year. This plan does not address small-group literacy instruction or systematic and explicit instruction of the reading foundational skills.</w:t>
      </w:r>
    </w:p>
  </w:footnote>
  <w:footnote w:id="8">
    <w:p w:rsidR="006C22BC" w:rsidRDefault="006C22BC" w:rsidP="006C22BC">
      <w:pPr>
        <w:pStyle w:val="FootnoteText"/>
      </w:pPr>
      <w:r>
        <w:rPr>
          <w:rStyle w:val="FootnoteReference"/>
        </w:rPr>
        <w:footnoteRef/>
      </w:r>
      <w:r>
        <w:t xml:space="preserve"> The listed Reading Standards: Foundational Skills are suggested for whole-class instruction using portions of the whole-class texts or no text, when appropriate. Systematic and explicit instruction of the </w:t>
      </w:r>
      <w:hyperlink r:id="rId6" w:history="1">
        <w:r>
          <w:rPr>
            <w:rStyle w:val="Hyperlink"/>
          </w:rPr>
          <w:t>reading foundational skills</w:t>
        </w:r>
      </w:hyperlink>
      <w:r w:rsidRPr="003C0D84">
        <w:t xml:space="preserve"> should occur</w:t>
      </w:r>
      <w:r>
        <w:t xml:space="preserve"> through small-group literacy instruction and be based on individual student needs, focusing on a progression of subskills that are formally assessed at various points throughout the year. This plan does not address small-group literacy instruction or systematic and explicit instruction of the reading foundational skills.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8BB" w:rsidRDefault="001228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03" w:rsidRDefault="00FD6503">
    <w:pPr>
      <w:pStyle w:val="Header"/>
    </w:pPr>
    <w:r>
      <w:rPr>
        <w:noProof/>
      </w:rPr>
      <w:drawing>
        <wp:anchor distT="0" distB="0" distL="114300" distR="114300" simplePos="0" relativeHeight="251658240" behindDoc="0" locked="0" layoutInCell="1" allowOverlap="1" wp14:anchorId="75BDF296" wp14:editId="13106273">
          <wp:simplePos x="0" y="0"/>
          <wp:positionH relativeFrom="column">
            <wp:posOffset>0</wp:posOffset>
          </wp:positionH>
          <wp:positionV relativeFrom="page">
            <wp:posOffset>457200</wp:posOffset>
          </wp:positionV>
          <wp:extent cx="9180576" cy="704088"/>
          <wp:effectExtent l="0" t="0" r="190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8BB" w:rsidRDefault="001228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56" w:rsidRDefault="00C955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A7B"/>
    <w:multiLevelType w:val="hybridMultilevel"/>
    <w:tmpl w:val="2C46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E5876"/>
    <w:multiLevelType w:val="hybridMultilevel"/>
    <w:tmpl w:val="313E7F4C"/>
    <w:lvl w:ilvl="0" w:tplc="4826623E">
      <w:start w:val="1"/>
      <w:numFmt w:val="bullet"/>
      <w:lvlText w:val=""/>
      <w:lvlJc w:val="left"/>
      <w:pPr>
        <w:ind w:left="378"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2023E"/>
    <w:multiLevelType w:val="hybridMultilevel"/>
    <w:tmpl w:val="7E3A104A"/>
    <w:lvl w:ilvl="0" w:tplc="4826623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1104A"/>
    <w:multiLevelType w:val="hybridMultilevel"/>
    <w:tmpl w:val="0112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84713"/>
    <w:multiLevelType w:val="hybridMultilevel"/>
    <w:tmpl w:val="A45AB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ED37F2"/>
    <w:multiLevelType w:val="hybridMultilevel"/>
    <w:tmpl w:val="A080F790"/>
    <w:lvl w:ilvl="0" w:tplc="3BFEEC5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CB558E"/>
    <w:multiLevelType w:val="hybridMultilevel"/>
    <w:tmpl w:val="E952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186150"/>
    <w:multiLevelType w:val="hybridMultilevel"/>
    <w:tmpl w:val="7904F910"/>
    <w:lvl w:ilvl="0" w:tplc="87D47AF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87656C"/>
    <w:multiLevelType w:val="hybridMultilevel"/>
    <w:tmpl w:val="3ECA469A"/>
    <w:lvl w:ilvl="0" w:tplc="3BFEEC5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D569F8"/>
    <w:multiLevelType w:val="hybridMultilevel"/>
    <w:tmpl w:val="21C866F8"/>
    <w:lvl w:ilvl="0" w:tplc="4826623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9C5F62"/>
    <w:multiLevelType w:val="singleLevel"/>
    <w:tmpl w:val="04090001"/>
    <w:lvl w:ilvl="0">
      <w:start w:val="1"/>
      <w:numFmt w:val="bullet"/>
      <w:lvlText w:val=""/>
      <w:lvlJc w:val="left"/>
      <w:pPr>
        <w:ind w:left="720" w:hanging="360"/>
      </w:pPr>
      <w:rPr>
        <w:rFonts w:ascii="Symbol" w:hAnsi="Symbol" w:hint="default"/>
      </w:rPr>
    </w:lvl>
  </w:abstractNum>
  <w:abstractNum w:abstractNumId="11">
    <w:nsid w:val="5D7F1A3A"/>
    <w:multiLevelType w:val="hybridMultilevel"/>
    <w:tmpl w:val="931AEA60"/>
    <w:lvl w:ilvl="0" w:tplc="26A27A6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FF4452"/>
    <w:multiLevelType w:val="hybridMultilevel"/>
    <w:tmpl w:val="8E7821A6"/>
    <w:lvl w:ilvl="0" w:tplc="5AD86E84">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0F3CE9"/>
    <w:multiLevelType w:val="hybridMultilevel"/>
    <w:tmpl w:val="38C2CEE4"/>
    <w:lvl w:ilvl="0" w:tplc="FD263B7E">
      <w:start w:val="1"/>
      <w:numFmt w:val="bullet"/>
      <w:lvlText w:val=""/>
      <w:lvlJc w:val="left"/>
      <w:pPr>
        <w:ind w:left="45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2E56B2"/>
    <w:multiLevelType w:val="hybridMultilevel"/>
    <w:tmpl w:val="4BF4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C86CE8"/>
    <w:multiLevelType w:val="hybridMultilevel"/>
    <w:tmpl w:val="6FC2FE70"/>
    <w:lvl w:ilvl="0" w:tplc="AF560072">
      <w:start w:val="1"/>
      <w:numFmt w:val="bullet"/>
      <w:lvlText w:val=""/>
      <w:lvlJc w:val="left"/>
      <w:pPr>
        <w:ind w:left="360" w:hanging="360"/>
      </w:pPr>
      <w:rPr>
        <w:rFonts w:ascii="Symbol" w:hAnsi="Symbol" w:hint="default"/>
        <w:color w:val="000000" w:themeColor="text1"/>
        <w:sz w:val="22"/>
        <w:szCs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nsid w:val="7D1C7938"/>
    <w:multiLevelType w:val="hybridMultilevel"/>
    <w:tmpl w:val="0ADCF37C"/>
    <w:lvl w:ilvl="0" w:tplc="D3FAA294">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
  </w:num>
  <w:num w:numId="4">
    <w:abstractNumId w:val="1"/>
  </w:num>
  <w:num w:numId="5">
    <w:abstractNumId w:val="9"/>
  </w:num>
  <w:num w:numId="6">
    <w:abstractNumId w:val="15"/>
  </w:num>
  <w:num w:numId="7">
    <w:abstractNumId w:val="6"/>
  </w:num>
  <w:num w:numId="8">
    <w:abstractNumId w:val="0"/>
  </w:num>
  <w:num w:numId="9">
    <w:abstractNumId w:val="3"/>
  </w:num>
  <w:num w:numId="10">
    <w:abstractNumId w:val="11"/>
  </w:num>
  <w:num w:numId="11">
    <w:abstractNumId w:val="5"/>
  </w:num>
  <w:num w:numId="12">
    <w:abstractNumId w:val="10"/>
  </w:num>
  <w:num w:numId="13">
    <w:abstractNumId w:val="7"/>
  </w:num>
  <w:num w:numId="14">
    <w:abstractNumId w:val="14"/>
  </w:num>
  <w:num w:numId="15">
    <w:abstractNumId w:val="8"/>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337A5"/>
    <w:rsid w:val="00056A1C"/>
    <w:rsid w:val="001124E2"/>
    <w:rsid w:val="001228BB"/>
    <w:rsid w:val="00147C01"/>
    <w:rsid w:val="00174E36"/>
    <w:rsid w:val="001A6A2F"/>
    <w:rsid w:val="001B6947"/>
    <w:rsid w:val="001C23A8"/>
    <w:rsid w:val="001E2D58"/>
    <w:rsid w:val="001E51B1"/>
    <w:rsid w:val="00226B4A"/>
    <w:rsid w:val="002650B2"/>
    <w:rsid w:val="002A20EA"/>
    <w:rsid w:val="002D2EC4"/>
    <w:rsid w:val="003059B3"/>
    <w:rsid w:val="003360A4"/>
    <w:rsid w:val="00351037"/>
    <w:rsid w:val="003B0783"/>
    <w:rsid w:val="003D28E5"/>
    <w:rsid w:val="003E28D6"/>
    <w:rsid w:val="00430B8B"/>
    <w:rsid w:val="004746A7"/>
    <w:rsid w:val="00555924"/>
    <w:rsid w:val="005F4B34"/>
    <w:rsid w:val="006876B5"/>
    <w:rsid w:val="006C038F"/>
    <w:rsid w:val="006C22BC"/>
    <w:rsid w:val="007A1FF9"/>
    <w:rsid w:val="007A21D5"/>
    <w:rsid w:val="00821451"/>
    <w:rsid w:val="008621E4"/>
    <w:rsid w:val="0086472D"/>
    <w:rsid w:val="00867E61"/>
    <w:rsid w:val="008A55E9"/>
    <w:rsid w:val="008B400C"/>
    <w:rsid w:val="00917F4A"/>
    <w:rsid w:val="00924F38"/>
    <w:rsid w:val="00954048"/>
    <w:rsid w:val="00960596"/>
    <w:rsid w:val="00964AAC"/>
    <w:rsid w:val="00A07513"/>
    <w:rsid w:val="00A516D7"/>
    <w:rsid w:val="00A70640"/>
    <w:rsid w:val="00A7070F"/>
    <w:rsid w:val="00A95DC7"/>
    <w:rsid w:val="00AE014E"/>
    <w:rsid w:val="00B1444B"/>
    <w:rsid w:val="00B34D66"/>
    <w:rsid w:val="00B8142F"/>
    <w:rsid w:val="00BB2879"/>
    <w:rsid w:val="00C10A7C"/>
    <w:rsid w:val="00C43D01"/>
    <w:rsid w:val="00C56990"/>
    <w:rsid w:val="00C66640"/>
    <w:rsid w:val="00C760C0"/>
    <w:rsid w:val="00C91398"/>
    <w:rsid w:val="00C95556"/>
    <w:rsid w:val="00CF79B6"/>
    <w:rsid w:val="00D86381"/>
    <w:rsid w:val="00D97660"/>
    <w:rsid w:val="00DA04C8"/>
    <w:rsid w:val="00DB0209"/>
    <w:rsid w:val="00DD23A4"/>
    <w:rsid w:val="00E0426A"/>
    <w:rsid w:val="00E06B42"/>
    <w:rsid w:val="00E06BEA"/>
    <w:rsid w:val="00E32E5C"/>
    <w:rsid w:val="00E4365B"/>
    <w:rsid w:val="00E9395B"/>
    <w:rsid w:val="00E963C3"/>
    <w:rsid w:val="00EC583A"/>
    <w:rsid w:val="00ED6D88"/>
    <w:rsid w:val="00F12A2F"/>
    <w:rsid w:val="00F345FE"/>
    <w:rsid w:val="00F725ED"/>
    <w:rsid w:val="00F821BE"/>
    <w:rsid w:val="00FA58C0"/>
    <w:rsid w:val="00FB4A4B"/>
    <w:rsid w:val="00FD1EE3"/>
    <w:rsid w:val="00FD6503"/>
    <w:rsid w:val="00FF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0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table" w:styleId="TableGrid">
    <w:name w:val="Table Grid"/>
    <w:basedOn w:val="TableNormal"/>
    <w:uiPriority w:val="59"/>
    <w:rsid w:val="00C760C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60C0"/>
    <w:rPr>
      <w:color w:val="0000FF" w:themeColor="hyperlink"/>
      <w:u w:val="single"/>
    </w:rPr>
  </w:style>
  <w:style w:type="paragraph" w:styleId="FootnoteText">
    <w:name w:val="footnote text"/>
    <w:basedOn w:val="Normal"/>
    <w:link w:val="FootnoteTextChar"/>
    <w:uiPriority w:val="99"/>
    <w:semiHidden/>
    <w:unhideWhenUsed/>
    <w:rsid w:val="00C760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60C0"/>
    <w:rPr>
      <w:rFonts w:eastAsiaTheme="minorEastAsia"/>
      <w:sz w:val="20"/>
      <w:szCs w:val="20"/>
    </w:rPr>
  </w:style>
  <w:style w:type="character" w:styleId="FootnoteReference">
    <w:name w:val="footnote reference"/>
    <w:basedOn w:val="DefaultParagraphFont"/>
    <w:uiPriority w:val="99"/>
    <w:semiHidden/>
    <w:unhideWhenUsed/>
    <w:rsid w:val="00C760C0"/>
    <w:rPr>
      <w:vertAlign w:val="superscript"/>
    </w:rPr>
  </w:style>
  <w:style w:type="paragraph" w:styleId="ListParagraph">
    <w:name w:val="List Paragraph"/>
    <w:basedOn w:val="Normal"/>
    <w:uiPriority w:val="34"/>
    <w:qFormat/>
    <w:rsid w:val="00C760C0"/>
    <w:pPr>
      <w:ind w:left="720"/>
      <w:contextualSpacing/>
    </w:pPr>
  </w:style>
  <w:style w:type="character" w:customStyle="1" w:styleId="bylinepipe1">
    <w:name w:val="bylinepipe1"/>
    <w:basedOn w:val="DefaultParagraphFont"/>
    <w:rsid w:val="00C95556"/>
    <w:rPr>
      <w:color w:val="666666"/>
    </w:rPr>
  </w:style>
  <w:style w:type="character" w:styleId="FollowedHyperlink">
    <w:name w:val="FollowedHyperlink"/>
    <w:basedOn w:val="DefaultParagraphFont"/>
    <w:uiPriority w:val="99"/>
    <w:semiHidden/>
    <w:unhideWhenUsed/>
    <w:rsid w:val="00DA04C8"/>
    <w:rPr>
      <w:color w:val="800080" w:themeColor="followedHyperlink"/>
      <w:u w:val="single"/>
    </w:rPr>
  </w:style>
  <w:style w:type="character" w:styleId="CommentReference">
    <w:name w:val="annotation reference"/>
    <w:basedOn w:val="DefaultParagraphFont"/>
    <w:uiPriority w:val="99"/>
    <w:semiHidden/>
    <w:unhideWhenUsed/>
    <w:rsid w:val="008621E4"/>
    <w:rPr>
      <w:sz w:val="16"/>
      <w:szCs w:val="16"/>
    </w:rPr>
  </w:style>
  <w:style w:type="paragraph" w:styleId="CommentText">
    <w:name w:val="annotation text"/>
    <w:basedOn w:val="Normal"/>
    <w:link w:val="CommentTextChar"/>
    <w:uiPriority w:val="99"/>
    <w:semiHidden/>
    <w:unhideWhenUsed/>
    <w:rsid w:val="008621E4"/>
    <w:pPr>
      <w:spacing w:line="240" w:lineRule="auto"/>
    </w:pPr>
    <w:rPr>
      <w:sz w:val="20"/>
      <w:szCs w:val="20"/>
    </w:rPr>
  </w:style>
  <w:style w:type="character" w:customStyle="1" w:styleId="CommentTextChar">
    <w:name w:val="Comment Text Char"/>
    <w:basedOn w:val="DefaultParagraphFont"/>
    <w:link w:val="CommentText"/>
    <w:uiPriority w:val="99"/>
    <w:semiHidden/>
    <w:rsid w:val="008621E4"/>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0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table" w:styleId="TableGrid">
    <w:name w:val="Table Grid"/>
    <w:basedOn w:val="TableNormal"/>
    <w:uiPriority w:val="59"/>
    <w:rsid w:val="00C760C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60C0"/>
    <w:rPr>
      <w:color w:val="0000FF" w:themeColor="hyperlink"/>
      <w:u w:val="single"/>
    </w:rPr>
  </w:style>
  <w:style w:type="paragraph" w:styleId="FootnoteText">
    <w:name w:val="footnote text"/>
    <w:basedOn w:val="Normal"/>
    <w:link w:val="FootnoteTextChar"/>
    <w:uiPriority w:val="99"/>
    <w:semiHidden/>
    <w:unhideWhenUsed/>
    <w:rsid w:val="00C760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60C0"/>
    <w:rPr>
      <w:rFonts w:eastAsiaTheme="minorEastAsia"/>
      <w:sz w:val="20"/>
      <w:szCs w:val="20"/>
    </w:rPr>
  </w:style>
  <w:style w:type="character" w:styleId="FootnoteReference">
    <w:name w:val="footnote reference"/>
    <w:basedOn w:val="DefaultParagraphFont"/>
    <w:uiPriority w:val="99"/>
    <w:semiHidden/>
    <w:unhideWhenUsed/>
    <w:rsid w:val="00C760C0"/>
    <w:rPr>
      <w:vertAlign w:val="superscript"/>
    </w:rPr>
  </w:style>
  <w:style w:type="paragraph" w:styleId="ListParagraph">
    <w:name w:val="List Paragraph"/>
    <w:basedOn w:val="Normal"/>
    <w:uiPriority w:val="34"/>
    <w:qFormat/>
    <w:rsid w:val="00C760C0"/>
    <w:pPr>
      <w:ind w:left="720"/>
      <w:contextualSpacing/>
    </w:pPr>
  </w:style>
  <w:style w:type="character" w:customStyle="1" w:styleId="bylinepipe1">
    <w:name w:val="bylinepipe1"/>
    <w:basedOn w:val="DefaultParagraphFont"/>
    <w:rsid w:val="00C95556"/>
    <w:rPr>
      <w:color w:val="666666"/>
    </w:rPr>
  </w:style>
  <w:style w:type="character" w:styleId="FollowedHyperlink">
    <w:name w:val="FollowedHyperlink"/>
    <w:basedOn w:val="DefaultParagraphFont"/>
    <w:uiPriority w:val="99"/>
    <w:semiHidden/>
    <w:unhideWhenUsed/>
    <w:rsid w:val="00DA04C8"/>
    <w:rPr>
      <w:color w:val="800080" w:themeColor="followedHyperlink"/>
      <w:u w:val="single"/>
    </w:rPr>
  </w:style>
  <w:style w:type="character" w:styleId="CommentReference">
    <w:name w:val="annotation reference"/>
    <w:basedOn w:val="DefaultParagraphFont"/>
    <w:uiPriority w:val="99"/>
    <w:semiHidden/>
    <w:unhideWhenUsed/>
    <w:rsid w:val="008621E4"/>
    <w:rPr>
      <w:sz w:val="16"/>
      <w:szCs w:val="16"/>
    </w:rPr>
  </w:style>
  <w:style w:type="paragraph" w:styleId="CommentText">
    <w:name w:val="annotation text"/>
    <w:basedOn w:val="Normal"/>
    <w:link w:val="CommentTextChar"/>
    <w:uiPriority w:val="99"/>
    <w:semiHidden/>
    <w:unhideWhenUsed/>
    <w:rsid w:val="008621E4"/>
    <w:pPr>
      <w:spacing w:line="240" w:lineRule="auto"/>
    </w:pPr>
    <w:rPr>
      <w:sz w:val="20"/>
      <w:szCs w:val="20"/>
    </w:rPr>
  </w:style>
  <w:style w:type="character" w:customStyle="1" w:styleId="CommentTextChar">
    <w:name w:val="Comment Text Char"/>
    <w:basedOn w:val="DefaultParagraphFont"/>
    <w:link w:val="CommentText"/>
    <w:uiPriority w:val="99"/>
    <w:semiHidden/>
    <w:rsid w:val="008621E4"/>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nteroninstruction.org/files/Building%20the%20Foundation.pdf" TargetMode="External"/><Relationship Id="rId18" Type="http://schemas.openxmlformats.org/officeDocument/2006/relationships/header" Target="header3.xml"/><Relationship Id="rId26" Type="http://schemas.openxmlformats.org/officeDocument/2006/relationships/hyperlink" Target="http://www.corestandards.org/assets/CCSSI_ELA%20Standards.pdf" TargetMode="External"/><Relationship Id="rId39" Type="http://schemas.openxmlformats.org/officeDocument/2006/relationships/hyperlink" Target="http://www.corestandards.org/assets/CCSSI_ELA%20Standards.pdf" TargetMode="External"/><Relationship Id="rId3" Type="http://schemas.openxmlformats.org/officeDocument/2006/relationships/styles" Target="styles.xml"/><Relationship Id="rId21" Type="http://schemas.openxmlformats.org/officeDocument/2006/relationships/hyperlink" Target="http://etc.usf.edu/lit2go/158/the-wonderful-wizard-of-oz/2747/chapter-1-the-cyclone/" TargetMode="External"/><Relationship Id="rId34" Type="http://schemas.openxmlformats.org/officeDocument/2006/relationships/hyperlink" Target="http://www.louisianabelieves.com/docs/teacher-toolbox-resources/guide---how-to-create-a-text-set-for-whole-class-instruction-grades-k-12.pdf?Status=Temp&amp;sfvrsn=2" TargetMode="External"/><Relationship Id="rId42" Type="http://schemas.openxmlformats.org/officeDocument/2006/relationships/hyperlink" Target="http://authorcentral.amazon.com/gp/landing/ref=ntt_atc_dp_pel_1"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ouisianabelieves.com/docs/teacher-toolbox-resources/guide---how-to-plan-for-grades-k-2.pdf?Status=Temp&amp;sfvrsn=2" TargetMode="External"/><Relationship Id="rId17" Type="http://schemas.openxmlformats.org/officeDocument/2006/relationships/footer" Target="footer2.xml"/><Relationship Id="rId25" Type="http://schemas.openxmlformats.org/officeDocument/2006/relationships/hyperlink" Target="http://www.time.com/time/photogallery/0,29307,1645016,00.html" TargetMode="External"/><Relationship Id="rId33" Type="http://schemas.openxmlformats.org/officeDocument/2006/relationships/hyperlink" Target="http://www.teachervision.fen.com/martin-luther-king-jr/video/73143.html" TargetMode="External"/><Relationship Id="rId38" Type="http://schemas.openxmlformats.org/officeDocument/2006/relationships/hyperlink" Target="http://ngexplorer.cengage.com/pathfinder/1010/teachers.htm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louisianabelieves.com/docs/teacher-toolbox-resources/guide---how-to-create-a-text-set-for-whole-class-instruction-grades-k-12.pdf?Status=Temp&amp;sfvrsn=2" TargetMode="External"/><Relationship Id="rId29" Type="http://schemas.openxmlformats.org/officeDocument/2006/relationships/hyperlink" Target="http://www.pbs.org/wgbh/theymadeamerica/index.html" TargetMode="External"/><Relationship Id="rId41" Type="http://schemas.openxmlformats.org/officeDocument/2006/relationships/hyperlink" Target="http://www.amazon.com/-/e/B001KDUINA/ref=ntt_athr_dp_sr_pop_1?_encoding=UTF8&amp;field-author=Cara%20Ashrose&amp;search-alias=books&amp;sort=relevancer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uisianabelieves.com/docs/teacher-toolbox-resources/guide---how-to-determine-text-complexity-grades-k-12.pdf?Status=Temp&amp;sfvrsn=2" TargetMode="External"/><Relationship Id="rId24" Type="http://schemas.openxmlformats.org/officeDocument/2006/relationships/hyperlink" Target="http://www.time.com/time/photogallery/0,29307,1626519,00.html" TargetMode="External"/><Relationship Id="rId32" Type="http://schemas.openxmlformats.org/officeDocument/2006/relationships/hyperlink" Target="http://www.google.com/search?tbm=pts&amp;hl=en&amp;q=henry+ford" TargetMode="External"/><Relationship Id="rId37" Type="http://schemas.openxmlformats.org/officeDocument/2006/relationships/hyperlink" Target="http://www.louisianabelieves.com/docs/teacher-toolbox-resources/guide---how-to-create-a-text-set-for-whole-class-instruction-grades-k-12.pdf?Status=Temp&amp;sfvrsn=2" TargetMode="External"/><Relationship Id="rId40" Type="http://schemas.openxmlformats.org/officeDocument/2006/relationships/hyperlink" Target="http://www.amazon.com/Cara-Ashrose/e/B001KDUINA/ref=ntt_athr_dp_pel_pop_1" TargetMode="External"/><Relationship Id="rId45"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etc.usf.edu/lit2go/158/the-wonderful-wizard-of-oz/2769/chapter-24-home-again/" TargetMode="External"/><Relationship Id="rId28" Type="http://schemas.openxmlformats.org/officeDocument/2006/relationships/hyperlink" Target="http://www.corestandards.org/assets/CCSSI_ELA%20Standards.pdf" TargetMode="External"/><Relationship Id="rId36" Type="http://schemas.openxmlformats.org/officeDocument/2006/relationships/hyperlink" Target="http://www.corestandards.org/assets/CCSSI_ELA%20Standards.pdf" TargetMode="External"/><Relationship Id="rId10" Type="http://schemas.openxmlformats.org/officeDocument/2006/relationships/hyperlink" Target="http://ngexplorer.cengage.com/pathfinder/1010/teachers.html" TargetMode="External"/><Relationship Id="rId19" Type="http://schemas.openxmlformats.org/officeDocument/2006/relationships/footer" Target="footer3.xml"/><Relationship Id="rId31" Type="http://schemas.openxmlformats.org/officeDocument/2006/relationships/hyperlink" Target="http://www.google.com/search?tbm=pts&amp;hl=en&amp;q=henry+ford" TargetMode="External"/><Relationship Id="rId44" Type="http://schemas.openxmlformats.org/officeDocument/2006/relationships/hyperlink" Target="http://www.corestandards.org/assets/CCSSI_ELA%20Standards.pdf" TargetMode="External"/><Relationship Id="rId4" Type="http://schemas.microsoft.com/office/2007/relationships/stylesWithEffects" Target="stylesWithEffects.xml"/><Relationship Id="rId9" Type="http://schemas.openxmlformats.org/officeDocument/2006/relationships/hyperlink" Target="http://www.americanliterature.com/childrens-stories/cinderella" TargetMode="External"/><Relationship Id="rId14" Type="http://schemas.openxmlformats.org/officeDocument/2006/relationships/header" Target="header1.xml"/><Relationship Id="rId22" Type="http://schemas.openxmlformats.org/officeDocument/2006/relationships/hyperlink" Target="http://etc.usf.edu/lit2go/158/the-wonderful-wizard-of-oz/2768/chapter-23-glinda-the-good-witch-grants-dorothys-wish/" TargetMode="External"/><Relationship Id="rId27" Type="http://schemas.openxmlformats.org/officeDocument/2006/relationships/hyperlink" Target="http://www.louisianabelieves.com/docs/teacher-toolbox-resources/guide---how-to-create-a-text-set-for-whole-class-instruction-grades-k-12.pdf?Status=Temp&amp;sfvrsn=2" TargetMode="External"/><Relationship Id="rId30" Type="http://schemas.openxmlformats.org/officeDocument/2006/relationships/hyperlink" Target="http://www.google.com/search?tbm=pts&amp;hl=en&amp;q=henry+ford" TargetMode="External"/><Relationship Id="rId35" Type="http://schemas.openxmlformats.org/officeDocument/2006/relationships/hyperlink" Target="http://www.americanliterature.com/childrens-stories/cinderella" TargetMode="External"/><Relationship Id="rId43" Type="http://schemas.openxmlformats.org/officeDocument/2006/relationships/hyperlink" Target="http://www.louisianabelieves.com/docs/teacher-toolbox-resources/guide---how-to-create-a-text-set-for-whole-class-instruction-grades-k-12.pdf?Status=Temp&amp;sfvrsn=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enteroninstruction.org/files/Building%20the%20Foundation.pdf" TargetMode="External"/><Relationship Id="rId2" Type="http://schemas.openxmlformats.org/officeDocument/2006/relationships/hyperlink" Target="http://www.centeroninstruction.org/files/Building%20the%20Foundation.pdf" TargetMode="External"/><Relationship Id="rId1" Type="http://schemas.openxmlformats.org/officeDocument/2006/relationships/hyperlink" Target="http://www.louisianabelieves.com/docs/teacher-toolbox-resources/guide---how-to-plan-for-grades-k-2.pdf?Status=Temp&amp;sfvrsn=2" TargetMode="External"/><Relationship Id="rId6" Type="http://schemas.openxmlformats.org/officeDocument/2006/relationships/hyperlink" Target="http://www.centeroninstruction.org/files/Building%20the%20Foundation.pdf" TargetMode="External"/><Relationship Id="rId5" Type="http://schemas.openxmlformats.org/officeDocument/2006/relationships/hyperlink" Target="http://www.centeroninstruction.org/files/Building%20the%20Foundation.pdf" TargetMode="External"/><Relationship Id="rId4" Type="http://schemas.openxmlformats.org/officeDocument/2006/relationships/hyperlink" Target="http://www.centeroninstruction.org/files/Building%20the%20Found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BB8D7-744E-459B-8B3D-6783197C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2943</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suebeers</cp:lastModifiedBy>
  <cp:revision>2</cp:revision>
  <dcterms:created xsi:type="dcterms:W3CDTF">2013-03-31T01:25:00Z</dcterms:created>
  <dcterms:modified xsi:type="dcterms:W3CDTF">2013-03-31T01:25:00Z</dcterms:modified>
</cp:coreProperties>
</file>