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A7" w:rsidRPr="008431D9" w:rsidRDefault="006C5F12" w:rsidP="00266FFA">
      <w:pPr>
        <w:tabs>
          <w:tab w:val="left" w:pos="720"/>
        </w:tabs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8431D9">
        <w:rPr>
          <w:rFonts w:ascii="Comic Sans MS" w:hAnsi="Comic Sans MS"/>
          <w:b/>
          <w:sz w:val="40"/>
          <w:szCs w:val="40"/>
        </w:rPr>
        <w:t>“Going Deeper” with the</w:t>
      </w:r>
      <w:r w:rsidR="00266FFA" w:rsidRPr="008431D9">
        <w:rPr>
          <w:rFonts w:ascii="Comic Sans MS" w:hAnsi="Comic Sans MS"/>
          <w:b/>
          <w:sz w:val="40"/>
          <w:szCs w:val="40"/>
        </w:rPr>
        <w:t xml:space="preserve"> Standards of Ma</w:t>
      </w:r>
      <w:r w:rsidRPr="008431D9">
        <w:rPr>
          <w:rFonts w:ascii="Comic Sans MS" w:hAnsi="Comic Sans MS"/>
          <w:b/>
          <w:sz w:val="40"/>
          <w:szCs w:val="40"/>
        </w:rPr>
        <w:t>thematical Practice</w:t>
      </w:r>
    </w:p>
    <w:tbl>
      <w:tblPr>
        <w:tblStyle w:val="TableGrid"/>
        <w:tblW w:w="14670" w:type="dxa"/>
        <w:tblInd w:w="-792" w:type="dxa"/>
        <w:tblLook w:val="04A0" w:firstRow="1" w:lastRow="0" w:firstColumn="1" w:lastColumn="0" w:noHBand="0" w:noVBand="1"/>
      </w:tblPr>
      <w:tblGrid>
        <w:gridCol w:w="4590"/>
        <w:gridCol w:w="2160"/>
        <w:gridCol w:w="7920"/>
      </w:tblGrid>
      <w:tr w:rsidR="006C5F12" w:rsidTr="00200711">
        <w:trPr>
          <w:trHeight w:val="701"/>
        </w:trPr>
        <w:tc>
          <w:tcPr>
            <w:tcW w:w="4590" w:type="dxa"/>
            <w:shd w:val="clear" w:color="auto" w:fill="A6A6A6" w:themeFill="background1" w:themeFillShade="A6"/>
            <w:vAlign w:val="center"/>
          </w:tcPr>
          <w:p w:rsidR="006C5F12" w:rsidRPr="006C5F12" w:rsidRDefault="006C5F12" w:rsidP="006C5F1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C5F12">
              <w:rPr>
                <w:rFonts w:ascii="Comic Sans MS" w:hAnsi="Comic Sans MS"/>
                <w:b/>
                <w:sz w:val="28"/>
                <w:szCs w:val="28"/>
              </w:rPr>
              <w:t>Standard of Practice</w:t>
            </w:r>
          </w:p>
        </w:tc>
        <w:tc>
          <w:tcPr>
            <w:tcW w:w="2160" w:type="dxa"/>
            <w:shd w:val="clear" w:color="auto" w:fill="A6A6A6" w:themeFill="background1" w:themeFillShade="A6"/>
            <w:vAlign w:val="center"/>
          </w:tcPr>
          <w:p w:rsidR="006C5F12" w:rsidRPr="006C5F12" w:rsidRDefault="006C5F12" w:rsidP="006C5F1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C5F12">
              <w:rPr>
                <w:rFonts w:ascii="Comic Sans MS" w:hAnsi="Comic Sans MS"/>
                <w:b/>
                <w:sz w:val="28"/>
                <w:szCs w:val="28"/>
              </w:rPr>
              <w:t>Letter</w:t>
            </w:r>
          </w:p>
        </w:tc>
        <w:tc>
          <w:tcPr>
            <w:tcW w:w="7920" w:type="dxa"/>
            <w:shd w:val="clear" w:color="auto" w:fill="A6A6A6" w:themeFill="background1" w:themeFillShade="A6"/>
            <w:vAlign w:val="center"/>
          </w:tcPr>
          <w:p w:rsidR="006C5F12" w:rsidRPr="006C5F12" w:rsidRDefault="006C5F12" w:rsidP="006C5F1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C5F12">
              <w:rPr>
                <w:rFonts w:ascii="Comic Sans MS" w:hAnsi="Comic Sans MS"/>
                <w:b/>
                <w:sz w:val="28"/>
                <w:szCs w:val="28"/>
              </w:rPr>
              <w:t xml:space="preserve">How </w:t>
            </w:r>
            <w:r w:rsidRPr="006C5F12">
              <w:rPr>
                <w:rFonts w:ascii="Comic Sans MS" w:hAnsi="Comic Sans MS"/>
                <w:b/>
                <w:noProof/>
                <w:sz w:val="28"/>
                <w:szCs w:val="28"/>
              </w:rPr>
              <w:drawing>
                <wp:inline distT="0" distB="0" distL="0" distR="0" wp14:anchorId="3053501F" wp14:editId="073582D1">
                  <wp:extent cx="290562" cy="243778"/>
                  <wp:effectExtent l="19050" t="0" r="0" b="0"/>
                  <wp:docPr id="1" name="Picture 0" descr="imagesCAK0IDR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K0IDR8.jpg"/>
                          <pic:cNvPicPr/>
                        </pic:nvPicPr>
                        <pic:blipFill>
                          <a:blip r:embed="rId6" cstate="print"/>
                          <a:srcRect l="20000" t="5486" r="23333" b="164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622" cy="2463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C5F12">
              <w:rPr>
                <w:rFonts w:ascii="Comic Sans MS" w:hAnsi="Comic Sans MS"/>
                <w:b/>
                <w:sz w:val="28"/>
                <w:szCs w:val="28"/>
              </w:rPr>
              <w:t xml:space="preserve"> demonstrates the Standard!</w:t>
            </w:r>
          </w:p>
        </w:tc>
      </w:tr>
      <w:tr w:rsidR="006C5F12" w:rsidTr="00200711">
        <w:trPr>
          <w:trHeight w:val="864"/>
        </w:trPr>
        <w:tc>
          <w:tcPr>
            <w:tcW w:w="4590" w:type="dxa"/>
          </w:tcPr>
          <w:p w:rsidR="006C5F12" w:rsidRPr="00266FFA" w:rsidRDefault="006C5F12" w:rsidP="008431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66FFA">
              <w:rPr>
                <w:sz w:val="28"/>
                <w:szCs w:val="28"/>
              </w:rPr>
              <w:t>Make sense of problems and persevere in solving them.</w:t>
            </w:r>
          </w:p>
        </w:tc>
        <w:tc>
          <w:tcPr>
            <w:tcW w:w="2160" w:type="dxa"/>
          </w:tcPr>
          <w:p w:rsidR="006C5F12" w:rsidRDefault="008431D9" w:rsidP="008431D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</w:t>
            </w:r>
          </w:p>
          <w:p w:rsidR="00200711" w:rsidRPr="00200711" w:rsidRDefault="00200711" w:rsidP="008431D9">
            <w:pPr>
              <w:jc w:val="center"/>
              <w:rPr>
                <w:sz w:val="20"/>
                <w:szCs w:val="20"/>
              </w:rPr>
            </w:pPr>
            <w:r w:rsidRPr="00200711">
              <w:rPr>
                <w:sz w:val="20"/>
                <w:szCs w:val="20"/>
              </w:rPr>
              <w:t>Math Problem</w:t>
            </w:r>
          </w:p>
        </w:tc>
        <w:tc>
          <w:tcPr>
            <w:tcW w:w="7920" w:type="dxa"/>
          </w:tcPr>
          <w:p w:rsidR="006C5F12" w:rsidRDefault="008431D9">
            <w:r>
              <w:t>Raj took an aspirin and went right back to solving the problem; demonstrating his perseverance.</w:t>
            </w:r>
          </w:p>
        </w:tc>
      </w:tr>
      <w:tr w:rsidR="006C5F12" w:rsidTr="00200711">
        <w:trPr>
          <w:trHeight w:val="864"/>
        </w:trPr>
        <w:tc>
          <w:tcPr>
            <w:tcW w:w="4590" w:type="dxa"/>
          </w:tcPr>
          <w:p w:rsidR="006C5F12" w:rsidRPr="00F467AD" w:rsidRDefault="006C5F12" w:rsidP="008431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66FFA">
              <w:rPr>
                <w:sz w:val="28"/>
                <w:szCs w:val="28"/>
              </w:rPr>
              <w:t>Reason abstractly and quantitatively.</w:t>
            </w:r>
          </w:p>
        </w:tc>
        <w:tc>
          <w:tcPr>
            <w:tcW w:w="2160" w:type="dxa"/>
          </w:tcPr>
          <w:p w:rsidR="006C5F12" w:rsidRDefault="008431D9" w:rsidP="008431D9">
            <w:pPr>
              <w:jc w:val="center"/>
              <w:rPr>
                <w:sz w:val="48"/>
                <w:szCs w:val="48"/>
              </w:rPr>
            </w:pPr>
            <w:r w:rsidRPr="008431D9">
              <w:rPr>
                <w:sz w:val="48"/>
                <w:szCs w:val="48"/>
              </w:rPr>
              <w:t>H</w:t>
            </w:r>
          </w:p>
          <w:p w:rsidR="00200711" w:rsidRPr="00200711" w:rsidRDefault="00200711" w:rsidP="00843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Superman</w:t>
            </w:r>
          </w:p>
        </w:tc>
        <w:tc>
          <w:tcPr>
            <w:tcW w:w="7920" w:type="dxa"/>
          </w:tcPr>
          <w:p w:rsidR="006C5F12" w:rsidRDefault="008431D9">
            <w:r>
              <w:t xml:space="preserve">They are taking a situation in a movie and represented symbolically through physics. They did pause during the manipulation of the math to probe </w:t>
            </w:r>
            <w:r w:rsidR="00200711">
              <w:t>the accuracy of the theories being presented.</w:t>
            </w:r>
          </w:p>
        </w:tc>
      </w:tr>
      <w:tr w:rsidR="006C5F12" w:rsidTr="00200711">
        <w:trPr>
          <w:trHeight w:val="864"/>
        </w:trPr>
        <w:tc>
          <w:tcPr>
            <w:tcW w:w="4590" w:type="dxa"/>
          </w:tcPr>
          <w:p w:rsidR="006C5F12" w:rsidRPr="00266FFA" w:rsidRDefault="006C5F12" w:rsidP="008431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66FFA">
              <w:rPr>
                <w:sz w:val="28"/>
                <w:szCs w:val="28"/>
              </w:rPr>
              <w:t>Construct viable arguments and critique the reasoning of others.</w:t>
            </w:r>
          </w:p>
        </w:tc>
        <w:tc>
          <w:tcPr>
            <w:tcW w:w="2160" w:type="dxa"/>
          </w:tcPr>
          <w:p w:rsidR="006C5F12" w:rsidRDefault="008431D9" w:rsidP="008431D9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</w:t>
            </w:r>
          </w:p>
          <w:p w:rsidR="00200711" w:rsidRPr="00200711" w:rsidRDefault="00200711" w:rsidP="00843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Loop vs. String</w:t>
            </w:r>
          </w:p>
        </w:tc>
        <w:tc>
          <w:tcPr>
            <w:tcW w:w="7920" w:type="dxa"/>
          </w:tcPr>
          <w:p w:rsidR="006C5F12" w:rsidRDefault="00200711">
            <w:r>
              <w:t>There was a case presented for both series as well as counterexamples for both. They responded to the validity of each explanation. Leonard listed to both sides and made a decision based on the facts.</w:t>
            </w:r>
          </w:p>
        </w:tc>
      </w:tr>
      <w:tr w:rsidR="006C5F12" w:rsidTr="00200711">
        <w:trPr>
          <w:trHeight w:val="864"/>
        </w:trPr>
        <w:tc>
          <w:tcPr>
            <w:tcW w:w="4590" w:type="dxa"/>
          </w:tcPr>
          <w:p w:rsidR="006C5F12" w:rsidRPr="00266FFA" w:rsidRDefault="006C5F12" w:rsidP="008431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431D9">
              <w:rPr>
                <w:sz w:val="28"/>
                <w:szCs w:val="28"/>
              </w:rPr>
              <w:t>Model with mathematics.</w:t>
            </w:r>
          </w:p>
        </w:tc>
        <w:tc>
          <w:tcPr>
            <w:tcW w:w="2160" w:type="dxa"/>
          </w:tcPr>
          <w:p w:rsidR="006C5F12" w:rsidRDefault="008431D9" w:rsidP="008431D9">
            <w:pPr>
              <w:jc w:val="center"/>
              <w:rPr>
                <w:sz w:val="48"/>
                <w:szCs w:val="48"/>
              </w:rPr>
            </w:pPr>
            <w:r w:rsidRPr="008431D9">
              <w:rPr>
                <w:sz w:val="48"/>
                <w:szCs w:val="48"/>
              </w:rPr>
              <w:t>E</w:t>
            </w:r>
          </w:p>
          <w:p w:rsidR="00200711" w:rsidRPr="00200711" w:rsidRDefault="00200711" w:rsidP="00843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the Math</w:t>
            </w:r>
          </w:p>
        </w:tc>
        <w:tc>
          <w:tcPr>
            <w:tcW w:w="7920" w:type="dxa"/>
          </w:tcPr>
          <w:p w:rsidR="006C5F12" w:rsidRDefault="00200711">
            <w:r>
              <w:t>Sheldon took the “real world” situation of the odds of two people from different backgrounds being compatible and wanted to do the math of the probability. He took a complicated situation and applied what he has comfortable with to solve the problem.</w:t>
            </w:r>
          </w:p>
        </w:tc>
      </w:tr>
      <w:tr w:rsidR="006C5F12" w:rsidTr="00200711">
        <w:trPr>
          <w:trHeight w:val="864"/>
        </w:trPr>
        <w:tc>
          <w:tcPr>
            <w:tcW w:w="4590" w:type="dxa"/>
          </w:tcPr>
          <w:p w:rsidR="006C5F12" w:rsidRPr="00266FFA" w:rsidRDefault="006C5F12" w:rsidP="008431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66FFA">
              <w:rPr>
                <w:sz w:val="28"/>
                <w:szCs w:val="28"/>
              </w:rPr>
              <w:t>Use appropriate tools strategically.</w:t>
            </w:r>
          </w:p>
        </w:tc>
        <w:tc>
          <w:tcPr>
            <w:tcW w:w="2160" w:type="dxa"/>
          </w:tcPr>
          <w:p w:rsidR="006C5F12" w:rsidRDefault="008431D9" w:rsidP="008431D9">
            <w:pPr>
              <w:jc w:val="center"/>
              <w:rPr>
                <w:sz w:val="48"/>
                <w:szCs w:val="48"/>
              </w:rPr>
            </w:pPr>
            <w:r w:rsidRPr="008431D9">
              <w:rPr>
                <w:sz w:val="48"/>
                <w:szCs w:val="48"/>
              </w:rPr>
              <w:t>C</w:t>
            </w:r>
          </w:p>
          <w:p w:rsidR="00200711" w:rsidRPr="00200711" w:rsidRDefault="00200711" w:rsidP="00843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PowerPoint</w:t>
            </w:r>
          </w:p>
        </w:tc>
        <w:tc>
          <w:tcPr>
            <w:tcW w:w="7920" w:type="dxa"/>
          </w:tcPr>
          <w:p w:rsidR="006C5F12" w:rsidRDefault="00200711">
            <w:r>
              <w:t>Sheldon used a PowerPoint to convey why he should go to Switzerland over Penny.</w:t>
            </w:r>
          </w:p>
        </w:tc>
      </w:tr>
      <w:tr w:rsidR="006C5F12" w:rsidTr="00200711">
        <w:trPr>
          <w:trHeight w:val="864"/>
        </w:trPr>
        <w:tc>
          <w:tcPr>
            <w:tcW w:w="4590" w:type="dxa"/>
          </w:tcPr>
          <w:p w:rsidR="006C5F12" w:rsidRPr="00266FFA" w:rsidRDefault="006C5F12" w:rsidP="008431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431D9">
              <w:rPr>
                <w:sz w:val="28"/>
                <w:szCs w:val="28"/>
              </w:rPr>
              <w:t>Attend to precision.</w:t>
            </w:r>
          </w:p>
        </w:tc>
        <w:tc>
          <w:tcPr>
            <w:tcW w:w="2160" w:type="dxa"/>
          </w:tcPr>
          <w:p w:rsidR="006C5F12" w:rsidRDefault="008431D9" w:rsidP="008431D9">
            <w:pPr>
              <w:jc w:val="center"/>
              <w:rPr>
                <w:sz w:val="48"/>
                <w:szCs w:val="48"/>
              </w:rPr>
            </w:pPr>
            <w:r w:rsidRPr="008431D9">
              <w:rPr>
                <w:sz w:val="48"/>
                <w:szCs w:val="48"/>
              </w:rPr>
              <w:t>B</w:t>
            </w:r>
          </w:p>
          <w:p w:rsidR="00200711" w:rsidRPr="00200711" w:rsidRDefault="00200711" w:rsidP="00843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 Hawking</w:t>
            </w:r>
          </w:p>
        </w:tc>
        <w:tc>
          <w:tcPr>
            <w:tcW w:w="7920" w:type="dxa"/>
          </w:tcPr>
          <w:p w:rsidR="006C5F12" w:rsidRDefault="00200711">
            <w:r>
              <w:t>Sheldon failed to attend to precision before giving the final copy to somebody else.</w:t>
            </w:r>
          </w:p>
        </w:tc>
      </w:tr>
      <w:tr w:rsidR="006C5F12" w:rsidTr="00200711">
        <w:trPr>
          <w:trHeight w:val="864"/>
        </w:trPr>
        <w:tc>
          <w:tcPr>
            <w:tcW w:w="4590" w:type="dxa"/>
          </w:tcPr>
          <w:p w:rsidR="006C5F12" w:rsidRPr="00266FFA" w:rsidRDefault="006C5F12" w:rsidP="008431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66FFA">
              <w:rPr>
                <w:sz w:val="28"/>
                <w:szCs w:val="28"/>
              </w:rPr>
              <w:t>Look for and make use of structure.</w:t>
            </w:r>
          </w:p>
        </w:tc>
        <w:tc>
          <w:tcPr>
            <w:tcW w:w="2160" w:type="dxa"/>
          </w:tcPr>
          <w:p w:rsidR="006C5F12" w:rsidRDefault="008431D9" w:rsidP="008431D9">
            <w:pPr>
              <w:jc w:val="center"/>
              <w:rPr>
                <w:sz w:val="48"/>
                <w:szCs w:val="48"/>
              </w:rPr>
            </w:pPr>
            <w:r w:rsidRPr="008431D9">
              <w:rPr>
                <w:sz w:val="48"/>
                <w:szCs w:val="48"/>
              </w:rPr>
              <w:t>A</w:t>
            </w:r>
          </w:p>
          <w:p w:rsidR="00200711" w:rsidRPr="00200711" w:rsidRDefault="00200711" w:rsidP="00843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Friendship </w:t>
            </w:r>
            <w:proofErr w:type="spellStart"/>
            <w:r>
              <w:rPr>
                <w:sz w:val="20"/>
                <w:szCs w:val="20"/>
              </w:rPr>
              <w:t>Alogorithm</w:t>
            </w:r>
            <w:proofErr w:type="spellEnd"/>
          </w:p>
        </w:tc>
        <w:tc>
          <w:tcPr>
            <w:tcW w:w="7920" w:type="dxa"/>
          </w:tcPr>
          <w:p w:rsidR="006C5F12" w:rsidRDefault="00200711">
            <w:r>
              <w:t>Sheldon took a complicated thing like friendship and broke it down into single objects in a flow chart. Howard noticed the infinite loop so he provided Sheldon with a way to step back and shift his perspective in order to solve the problem.</w:t>
            </w:r>
          </w:p>
        </w:tc>
      </w:tr>
      <w:tr w:rsidR="006C5F12" w:rsidTr="00200711">
        <w:trPr>
          <w:trHeight w:val="864"/>
        </w:trPr>
        <w:tc>
          <w:tcPr>
            <w:tcW w:w="4590" w:type="dxa"/>
          </w:tcPr>
          <w:p w:rsidR="006C5F12" w:rsidRPr="00266FFA" w:rsidRDefault="006C5F12" w:rsidP="008431D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266FFA">
              <w:rPr>
                <w:sz w:val="28"/>
                <w:szCs w:val="28"/>
              </w:rPr>
              <w:t>Look for and express regularity in repeated reasoning.</w:t>
            </w:r>
          </w:p>
        </w:tc>
        <w:tc>
          <w:tcPr>
            <w:tcW w:w="2160" w:type="dxa"/>
          </w:tcPr>
          <w:p w:rsidR="006C5F12" w:rsidRDefault="008431D9" w:rsidP="008431D9">
            <w:pPr>
              <w:jc w:val="center"/>
              <w:rPr>
                <w:sz w:val="48"/>
                <w:szCs w:val="48"/>
              </w:rPr>
            </w:pPr>
            <w:r w:rsidRPr="008431D9">
              <w:rPr>
                <w:sz w:val="48"/>
                <w:szCs w:val="48"/>
              </w:rPr>
              <w:t>D</w:t>
            </w:r>
          </w:p>
          <w:p w:rsidR="00200711" w:rsidRPr="00200711" w:rsidRDefault="00200711" w:rsidP="008431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Number</w:t>
            </w:r>
          </w:p>
        </w:tc>
        <w:tc>
          <w:tcPr>
            <w:tcW w:w="7920" w:type="dxa"/>
          </w:tcPr>
          <w:p w:rsidR="006C5F12" w:rsidRDefault="00200711">
            <w:r>
              <w:t xml:space="preserve">Sheldon took the number 73 and broke it down in several </w:t>
            </w:r>
            <w:proofErr w:type="gramStart"/>
            <w:r>
              <w:t>way</w:t>
            </w:r>
            <w:proofErr w:type="gramEnd"/>
            <w:r>
              <w:t xml:space="preserve"> but found repeated calculations. He evaluated the reasonableness of all of his calculations to prove that it was the best number.</w:t>
            </w:r>
          </w:p>
        </w:tc>
      </w:tr>
    </w:tbl>
    <w:p w:rsidR="00266FFA" w:rsidRDefault="00266FFA" w:rsidP="00F467AD"/>
    <w:sectPr w:rsidR="00266FFA" w:rsidSect="008431D9">
      <w:pgSz w:w="15840" w:h="12240" w:orient="landscape" w:code="1"/>
      <w:pgMar w:top="1008" w:right="1152" w:bottom="72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47"/>
    <w:multiLevelType w:val="hybridMultilevel"/>
    <w:tmpl w:val="BB58A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FA"/>
    <w:rsid w:val="00200711"/>
    <w:rsid w:val="00266FFA"/>
    <w:rsid w:val="00456E46"/>
    <w:rsid w:val="006C5F12"/>
    <w:rsid w:val="008431D9"/>
    <w:rsid w:val="0099123E"/>
    <w:rsid w:val="00C50794"/>
    <w:rsid w:val="00D565B9"/>
    <w:rsid w:val="00E950A7"/>
    <w:rsid w:val="00F4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6F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F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6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Learning, Inc.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Jan-08-09-09</dc:creator>
  <cp:lastModifiedBy>Dave Christensen</cp:lastModifiedBy>
  <cp:revision>2</cp:revision>
  <dcterms:created xsi:type="dcterms:W3CDTF">2014-11-10T04:02:00Z</dcterms:created>
  <dcterms:modified xsi:type="dcterms:W3CDTF">2014-11-10T04:02:00Z</dcterms:modified>
</cp:coreProperties>
</file>