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FE" w:rsidRDefault="00FB3B6A">
      <w:pPr>
        <w:rPr>
          <w:b/>
          <w:sz w:val="24"/>
          <w:szCs w:val="24"/>
        </w:rPr>
      </w:pPr>
      <w:r w:rsidRPr="00FB3B6A">
        <w:rPr>
          <w:rFonts w:ascii="Bodoni MT Black" w:hAnsi="Bodoni MT Black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45pt;margin-top:-8.1pt;width:42.4pt;height:22.7pt;z-index:251656192">
            <v:stroke dashstyle="1 1" endcap="round"/>
            <v:shadow on="t" opacity=".5" offset="-6pt,-6pt"/>
            <v:textbox style="mso-next-textbox:#_x0000_s1029">
              <w:txbxContent>
                <w:p w:rsidR="00B15A57" w:rsidRDefault="00B15A57">
                  <w:r w:rsidRPr="00B15A57">
                    <w:rPr>
                      <w:rFonts w:ascii="Bodoni MT Black" w:hAnsi="Bodoni MT Black"/>
                      <w:b/>
                      <w:sz w:val="28"/>
                      <w:szCs w:val="28"/>
                    </w:rPr>
                    <w:t>RH</w:t>
                  </w:r>
                </w:p>
              </w:txbxContent>
            </v:textbox>
          </v:shape>
        </w:pict>
      </w:r>
      <w:r w:rsidR="00B15A57">
        <w:rPr>
          <w:b/>
          <w:sz w:val="24"/>
          <w:szCs w:val="24"/>
        </w:rPr>
        <w:t xml:space="preserve">                </w:t>
      </w:r>
      <w:r w:rsidR="004A09FE" w:rsidRPr="00C87C18">
        <w:rPr>
          <w:b/>
          <w:sz w:val="24"/>
          <w:szCs w:val="24"/>
        </w:rPr>
        <w:t>Reading Standards for Literacy in History/Social Studies 6-12</w:t>
      </w:r>
    </w:p>
    <w:p w:rsidR="00F02EB1" w:rsidRDefault="00F02EB1">
      <w:pPr>
        <w:rPr>
          <w:sz w:val="16"/>
          <w:szCs w:val="16"/>
        </w:rPr>
      </w:pPr>
      <w:r>
        <w:rPr>
          <w:sz w:val="16"/>
          <w:szCs w:val="16"/>
        </w:rPr>
        <w:t>The</w:t>
      </w:r>
      <w:r w:rsidR="00014F15">
        <w:rPr>
          <w:sz w:val="16"/>
          <w:szCs w:val="16"/>
        </w:rPr>
        <w:t xml:space="preserve"> standard</w:t>
      </w:r>
      <w:r w:rsidR="002B293E">
        <w:rPr>
          <w:sz w:val="16"/>
          <w:szCs w:val="16"/>
        </w:rPr>
        <w:t xml:space="preserve">s on this page </w:t>
      </w:r>
      <w:r w:rsidRPr="00AC0A00">
        <w:rPr>
          <w:sz w:val="16"/>
          <w:szCs w:val="16"/>
        </w:rPr>
        <w:t xml:space="preserve">define what students should understand and be able to do by the end of each grade span. They correspond to the College and Career Readiness (CCR) </w:t>
      </w:r>
      <w:r w:rsidR="002A54C1">
        <w:rPr>
          <w:sz w:val="16"/>
          <w:szCs w:val="16"/>
        </w:rPr>
        <w:t>anchor standards</w:t>
      </w:r>
      <w:r w:rsidRPr="00AC0A00">
        <w:rPr>
          <w:sz w:val="16"/>
          <w:szCs w:val="16"/>
        </w:rPr>
        <w:t>. The CCR and grade-specific</w:t>
      </w:r>
      <w:r w:rsidR="002B293E">
        <w:rPr>
          <w:sz w:val="16"/>
          <w:szCs w:val="16"/>
        </w:rPr>
        <w:t>/grade span</w:t>
      </w:r>
      <w:r w:rsidRPr="00AC0A00">
        <w:rPr>
          <w:sz w:val="16"/>
          <w:szCs w:val="16"/>
        </w:rPr>
        <w:t xml:space="preserve"> standards are necessary complements – the </w:t>
      </w:r>
      <w:r w:rsidR="002B293E">
        <w:rPr>
          <w:sz w:val="16"/>
          <w:szCs w:val="16"/>
        </w:rPr>
        <w:t>former providing broad statements</w:t>
      </w:r>
      <w:r w:rsidRPr="00AC0A00">
        <w:rPr>
          <w:sz w:val="16"/>
          <w:szCs w:val="16"/>
        </w:rPr>
        <w:t>, the latter providing additional specificity – that together define the skills and understandings that all students mu</w:t>
      </w:r>
      <w:r>
        <w:rPr>
          <w:sz w:val="16"/>
          <w:szCs w:val="16"/>
        </w:rPr>
        <w:t>st demon</w:t>
      </w:r>
      <w:r w:rsidR="004C6DA9">
        <w:rPr>
          <w:sz w:val="16"/>
          <w:szCs w:val="16"/>
        </w:rPr>
        <w:t>strate. (</w:t>
      </w:r>
      <w:hyperlink r:id="rId8" w:history="1">
        <w:r w:rsidR="004C6DA9" w:rsidRPr="004C6DA9">
          <w:rPr>
            <w:rStyle w:val="Hyperlink"/>
            <w:sz w:val="16"/>
            <w:szCs w:val="16"/>
          </w:rPr>
          <w:t>IA Common Core</w:t>
        </w:r>
      </w:hyperlink>
      <w:r w:rsidR="004C6DA9">
        <w:rPr>
          <w:sz w:val="16"/>
          <w:szCs w:val="16"/>
        </w:rPr>
        <w:t>, Page 77)</w:t>
      </w:r>
    </w:p>
    <w:p w:rsidR="002A54C1" w:rsidRPr="002A54C1" w:rsidRDefault="002A54C1">
      <w:pPr>
        <w:rPr>
          <w:sz w:val="10"/>
          <w:szCs w:val="10"/>
        </w:r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1"/>
        <w:gridCol w:w="2694"/>
        <w:gridCol w:w="2635"/>
        <w:gridCol w:w="62"/>
        <w:gridCol w:w="2692"/>
      </w:tblGrid>
      <w:tr w:rsidR="00F02EB1" w:rsidRPr="004A09FE" w:rsidTr="00F02EB1">
        <w:tc>
          <w:tcPr>
            <w:tcW w:w="4248" w:type="dxa"/>
            <w:shd w:val="clear" w:color="auto" w:fill="auto"/>
          </w:tcPr>
          <w:p w:rsidR="00F02EB1" w:rsidRDefault="00F02EB1" w:rsidP="00F02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C87C18">
              <w:rPr>
                <w:b/>
                <w:sz w:val="20"/>
                <w:szCs w:val="20"/>
              </w:rPr>
              <w:t xml:space="preserve">ollege &amp; Career Readiness </w:t>
            </w:r>
          </w:p>
          <w:p w:rsidR="00F02EB1" w:rsidRPr="00C87C18" w:rsidRDefault="00F02EB1" w:rsidP="00F02EB1">
            <w:pPr>
              <w:jc w:val="center"/>
              <w:rPr>
                <w:sz w:val="16"/>
                <w:szCs w:val="16"/>
              </w:rPr>
            </w:pPr>
            <w:r w:rsidRPr="00C87C18">
              <w:rPr>
                <w:b/>
                <w:sz w:val="20"/>
                <w:szCs w:val="20"/>
              </w:rPr>
              <w:t>Anchor Standards for Reading</w:t>
            </w:r>
          </w:p>
        </w:tc>
        <w:tc>
          <w:tcPr>
            <w:tcW w:w="3420" w:type="dxa"/>
            <w:shd w:val="clear" w:color="auto" w:fill="000000"/>
          </w:tcPr>
          <w:p w:rsidR="00F02EB1" w:rsidRPr="00F02EB1" w:rsidRDefault="00F02EB1" w:rsidP="00F02EB1">
            <w:r w:rsidRPr="00F02EB1">
              <w:t>Grade 6-8 students:</w:t>
            </w:r>
          </w:p>
        </w:tc>
        <w:tc>
          <w:tcPr>
            <w:tcW w:w="3330" w:type="dxa"/>
            <w:shd w:val="clear" w:color="auto" w:fill="000000"/>
          </w:tcPr>
          <w:p w:rsidR="00F02EB1" w:rsidRPr="00F02EB1" w:rsidRDefault="00F02EB1" w:rsidP="00F02EB1">
            <w:r w:rsidRPr="00F02EB1">
              <w:t>Grade 9-10 students:</w:t>
            </w:r>
          </w:p>
        </w:tc>
        <w:tc>
          <w:tcPr>
            <w:tcW w:w="3510" w:type="dxa"/>
            <w:gridSpan w:val="2"/>
            <w:shd w:val="clear" w:color="auto" w:fill="000000"/>
          </w:tcPr>
          <w:p w:rsidR="00F02EB1" w:rsidRPr="00F02EB1" w:rsidRDefault="00014F15" w:rsidP="00F02EB1">
            <w:r>
              <w:t>Grade 11-12 students:</w:t>
            </w:r>
          </w:p>
        </w:tc>
      </w:tr>
      <w:tr w:rsidR="00F02EB1" w:rsidRPr="004A09FE" w:rsidTr="00B15A57">
        <w:tc>
          <w:tcPr>
            <w:tcW w:w="14508" w:type="dxa"/>
            <w:gridSpan w:val="5"/>
            <w:shd w:val="clear" w:color="auto" w:fill="C4BC96"/>
          </w:tcPr>
          <w:p w:rsidR="00F02EB1" w:rsidRPr="00C87C18" w:rsidRDefault="00F02EB1" w:rsidP="00F02EB1">
            <w:pPr>
              <w:rPr>
                <w:sz w:val="16"/>
                <w:szCs w:val="16"/>
              </w:rPr>
            </w:pPr>
            <w:r w:rsidRPr="001757D5">
              <w:rPr>
                <w:b/>
                <w:sz w:val="18"/>
                <w:szCs w:val="18"/>
              </w:rPr>
              <w:t xml:space="preserve">Key </w:t>
            </w:r>
            <w:r>
              <w:rPr>
                <w:b/>
                <w:sz w:val="18"/>
                <w:szCs w:val="18"/>
              </w:rPr>
              <w:t>Ideas and Details</w:t>
            </w:r>
          </w:p>
        </w:tc>
      </w:tr>
      <w:tr w:rsidR="00F02EB1" w:rsidRPr="004A09FE" w:rsidTr="00B15A57">
        <w:tc>
          <w:tcPr>
            <w:tcW w:w="4248" w:type="dxa"/>
            <w:shd w:val="clear" w:color="auto" w:fill="EEECE1"/>
          </w:tcPr>
          <w:p w:rsidR="00F02EB1" w:rsidRPr="00C87C18" w:rsidRDefault="00F02EB1" w:rsidP="00F02EB1">
            <w:pPr>
              <w:numPr>
                <w:ilvl w:val="0"/>
                <w:numId w:val="1"/>
              </w:numPr>
              <w:ind w:left="270" w:hanging="270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Read closely to determine what the text says explicitly and to make logical inferences from it; cite specific textual evidence when writing or speaking to support conclusions.</w:t>
            </w:r>
          </w:p>
        </w:tc>
        <w:tc>
          <w:tcPr>
            <w:tcW w:w="3420" w:type="dxa"/>
            <w:shd w:val="clear" w:color="auto" w:fill="auto"/>
          </w:tcPr>
          <w:p w:rsidR="00F02EB1" w:rsidRPr="00C87C18" w:rsidRDefault="00F02EB1" w:rsidP="00F02EB1">
            <w:pPr>
              <w:numPr>
                <w:ilvl w:val="0"/>
                <w:numId w:val="2"/>
              </w:numPr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 xml:space="preserve">Cite specific textual evidence to support analysis of primary and secondary sources. </w:t>
            </w:r>
          </w:p>
        </w:tc>
        <w:tc>
          <w:tcPr>
            <w:tcW w:w="3330" w:type="dxa"/>
            <w:shd w:val="clear" w:color="auto" w:fill="auto"/>
          </w:tcPr>
          <w:p w:rsidR="00F02EB1" w:rsidRPr="00C87C18" w:rsidRDefault="00F02EB1" w:rsidP="00F02EB1">
            <w:pPr>
              <w:numPr>
                <w:ilvl w:val="0"/>
                <w:numId w:val="3"/>
              </w:numPr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Cite specific textual evidence to support analysis of primary and secondary sources, attending to such features as the date</w:t>
            </w:r>
            <w:r>
              <w:rPr>
                <w:sz w:val="16"/>
                <w:szCs w:val="16"/>
              </w:rPr>
              <w:t xml:space="preserve"> and origin of the information.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F02EB1" w:rsidRPr="00C87C18" w:rsidRDefault="00F02EB1" w:rsidP="00F02EB1">
            <w:pPr>
              <w:numPr>
                <w:ilvl w:val="0"/>
                <w:numId w:val="4"/>
              </w:numPr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 xml:space="preserve">Cite specific textual evidence to support analysis of primary and secondary sources, connecting insights gained from specific details to an understanding of the text as a whole. </w:t>
            </w:r>
          </w:p>
        </w:tc>
      </w:tr>
      <w:tr w:rsidR="00F02EB1" w:rsidRPr="004A09FE" w:rsidTr="00B15A57">
        <w:tc>
          <w:tcPr>
            <w:tcW w:w="4248" w:type="dxa"/>
            <w:shd w:val="clear" w:color="auto" w:fill="EEECE1"/>
          </w:tcPr>
          <w:p w:rsidR="00F02EB1" w:rsidRPr="00C87C18" w:rsidRDefault="00F02EB1" w:rsidP="00F02EB1">
            <w:pPr>
              <w:numPr>
                <w:ilvl w:val="0"/>
                <w:numId w:val="1"/>
              </w:numPr>
              <w:ind w:left="270" w:hanging="270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Determine central ideas or themes of a text and analyze their development; summarize the key supporting details and ideas.</w:t>
            </w:r>
          </w:p>
        </w:tc>
        <w:tc>
          <w:tcPr>
            <w:tcW w:w="3420" w:type="dxa"/>
            <w:shd w:val="clear" w:color="auto" w:fill="auto"/>
          </w:tcPr>
          <w:p w:rsidR="00F02EB1" w:rsidRPr="00C87C18" w:rsidRDefault="00F02EB1" w:rsidP="00F02EB1">
            <w:pPr>
              <w:numPr>
                <w:ilvl w:val="0"/>
                <w:numId w:val="2"/>
              </w:numPr>
              <w:ind w:left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 xml:space="preserve">Determine the central ideas or information of a primary or secondary source; provide an accurate summary of the source distinct from prior knowledge or opinions. </w:t>
            </w:r>
          </w:p>
        </w:tc>
        <w:tc>
          <w:tcPr>
            <w:tcW w:w="3330" w:type="dxa"/>
            <w:shd w:val="clear" w:color="auto" w:fill="auto"/>
          </w:tcPr>
          <w:p w:rsidR="00F02EB1" w:rsidRPr="00C87C18" w:rsidRDefault="00F02EB1" w:rsidP="00F02EB1">
            <w:pPr>
              <w:numPr>
                <w:ilvl w:val="0"/>
                <w:numId w:val="3"/>
              </w:numPr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 xml:space="preserve">Determine the central ideas or information of a primary or secondary source; provide an accurate summary of how key events or ideas develop over the course of the text.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F02EB1" w:rsidRPr="00C87C18" w:rsidRDefault="00F02EB1" w:rsidP="00F02EB1">
            <w:pPr>
              <w:numPr>
                <w:ilvl w:val="0"/>
                <w:numId w:val="4"/>
              </w:numPr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 xml:space="preserve">Determine the central ideas or information of a primary or secondary source; provide an accurate summary that makes clear the relationships among the key details and ideas. </w:t>
            </w:r>
          </w:p>
        </w:tc>
      </w:tr>
      <w:tr w:rsidR="00F02EB1" w:rsidRPr="004A09FE" w:rsidTr="00B15A57">
        <w:tc>
          <w:tcPr>
            <w:tcW w:w="4248" w:type="dxa"/>
            <w:shd w:val="clear" w:color="auto" w:fill="EEECE1"/>
          </w:tcPr>
          <w:p w:rsidR="00F02EB1" w:rsidRPr="00C87C18" w:rsidRDefault="00F02EB1" w:rsidP="00F02EB1">
            <w:pPr>
              <w:numPr>
                <w:ilvl w:val="0"/>
                <w:numId w:val="1"/>
              </w:numPr>
              <w:ind w:left="270" w:hanging="270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Analyze how and why individuals, events, or ideas develop and interact over the course of a text.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F02EB1" w:rsidRPr="00C87C18" w:rsidRDefault="00F02EB1" w:rsidP="00F02EB1">
            <w:pPr>
              <w:numPr>
                <w:ilvl w:val="0"/>
                <w:numId w:val="2"/>
              </w:numPr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 xml:space="preserve">Identify key steps in a text’s description of a process related to history/social studies (e.g., how a bill becomes law, how interest rates are raised or lowered).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F02EB1" w:rsidRPr="00C87C18" w:rsidRDefault="00F02EB1" w:rsidP="00F02EB1">
            <w:pPr>
              <w:numPr>
                <w:ilvl w:val="0"/>
                <w:numId w:val="3"/>
              </w:numPr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 xml:space="preserve">Analyze in detail a series of events described in a text; determine whether earlier events caused later ones or simply preceded them.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2EB1" w:rsidRPr="00C87C18" w:rsidRDefault="00F02EB1" w:rsidP="00F02EB1">
            <w:pPr>
              <w:numPr>
                <w:ilvl w:val="0"/>
                <w:numId w:val="4"/>
              </w:numPr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 xml:space="preserve">Evaluate various explanations for actions or events and determine which explanation best accords with textual evidence, acknowledging where the text leaves matters uncertain. </w:t>
            </w:r>
          </w:p>
        </w:tc>
      </w:tr>
      <w:tr w:rsidR="00F02EB1" w:rsidRPr="004A09FE" w:rsidTr="00B15A57">
        <w:tc>
          <w:tcPr>
            <w:tcW w:w="14508" w:type="dxa"/>
            <w:gridSpan w:val="5"/>
            <w:shd w:val="clear" w:color="auto" w:fill="C4BC96"/>
          </w:tcPr>
          <w:p w:rsidR="00F02EB1" w:rsidRPr="00C87C18" w:rsidRDefault="00F02EB1" w:rsidP="00F02EB1">
            <w:pPr>
              <w:ind w:left="342" w:hanging="342"/>
              <w:rPr>
                <w:sz w:val="16"/>
                <w:szCs w:val="16"/>
              </w:rPr>
            </w:pPr>
            <w:r w:rsidRPr="00C87C18">
              <w:rPr>
                <w:b/>
                <w:sz w:val="18"/>
                <w:szCs w:val="18"/>
              </w:rPr>
              <w:t>Craft and S</w:t>
            </w:r>
            <w:r>
              <w:rPr>
                <w:b/>
                <w:sz w:val="18"/>
                <w:szCs w:val="18"/>
              </w:rPr>
              <w:t xml:space="preserve">tructure </w:t>
            </w:r>
          </w:p>
        </w:tc>
      </w:tr>
      <w:tr w:rsidR="00F02EB1" w:rsidRPr="004A09FE" w:rsidTr="00B15A57">
        <w:tc>
          <w:tcPr>
            <w:tcW w:w="4248" w:type="dxa"/>
            <w:shd w:val="clear" w:color="auto" w:fill="EEECE1"/>
          </w:tcPr>
          <w:p w:rsidR="00F02EB1" w:rsidRPr="00C87C18" w:rsidRDefault="00F02EB1" w:rsidP="00F02EB1">
            <w:pPr>
              <w:numPr>
                <w:ilvl w:val="0"/>
                <w:numId w:val="1"/>
              </w:numPr>
              <w:ind w:left="270" w:hanging="270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Interpret words and phrases as they are used in a text, including determining technical, connotative, and figurative meanings, and analyze how specific word choices shape meaning or tone.</w:t>
            </w:r>
          </w:p>
        </w:tc>
        <w:tc>
          <w:tcPr>
            <w:tcW w:w="3420" w:type="dxa"/>
            <w:shd w:val="clear" w:color="auto" w:fill="auto"/>
          </w:tcPr>
          <w:p w:rsidR="00F02EB1" w:rsidRPr="00C87C18" w:rsidRDefault="00F02EB1" w:rsidP="00F02EB1">
            <w:pPr>
              <w:numPr>
                <w:ilvl w:val="0"/>
                <w:numId w:val="2"/>
              </w:numPr>
              <w:tabs>
                <w:tab w:val="left" w:pos="342"/>
              </w:tabs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 xml:space="preserve">Determine the meaning of words and phrases as they are used in a text, including vocabulary specific to domains related to history/social studies, </w:t>
            </w:r>
          </w:p>
        </w:tc>
        <w:tc>
          <w:tcPr>
            <w:tcW w:w="3330" w:type="dxa"/>
            <w:shd w:val="clear" w:color="auto" w:fill="auto"/>
          </w:tcPr>
          <w:p w:rsidR="00F02EB1" w:rsidRPr="00C87C18" w:rsidRDefault="00F02EB1" w:rsidP="00F02EB1">
            <w:pPr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4.</w:t>
            </w:r>
            <w:r w:rsidRPr="00C87C18">
              <w:rPr>
                <w:sz w:val="16"/>
                <w:szCs w:val="16"/>
              </w:rPr>
              <w:tab/>
              <w:t xml:space="preserve">Determine the meaning of words and phrases as they are used in a text, including vocabulary describing political, social, or economic aspects of history/social studies.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F02EB1" w:rsidRPr="00C87C18" w:rsidRDefault="00F02EB1" w:rsidP="00F02EB1">
            <w:pPr>
              <w:ind w:left="342" w:hanging="342"/>
              <w:rPr>
                <w:b/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4.</w:t>
            </w:r>
            <w:r w:rsidRPr="00C87C18">
              <w:rPr>
                <w:sz w:val="16"/>
                <w:szCs w:val="16"/>
              </w:rPr>
              <w:tab/>
              <w:t xml:space="preserve">Determine the meaning of words and phrases as they are used in a text, including analyzing how an author uses and refines the meaning of a key term over the course of a text (e.g., how Madison defines </w:t>
            </w:r>
            <w:r w:rsidRPr="00C87C18">
              <w:rPr>
                <w:i/>
                <w:sz w:val="16"/>
                <w:szCs w:val="16"/>
              </w:rPr>
              <w:t xml:space="preserve">faction </w:t>
            </w:r>
            <w:r w:rsidRPr="00C87C18">
              <w:rPr>
                <w:sz w:val="16"/>
                <w:szCs w:val="16"/>
              </w:rPr>
              <w:t xml:space="preserve">in </w:t>
            </w:r>
            <w:r w:rsidRPr="00C87C18">
              <w:rPr>
                <w:i/>
                <w:sz w:val="16"/>
                <w:szCs w:val="16"/>
              </w:rPr>
              <w:t>Federalist</w:t>
            </w:r>
            <w:r w:rsidRPr="00C87C18">
              <w:rPr>
                <w:sz w:val="16"/>
                <w:szCs w:val="16"/>
              </w:rPr>
              <w:t xml:space="preserve"> No. 10). </w:t>
            </w:r>
          </w:p>
        </w:tc>
      </w:tr>
      <w:tr w:rsidR="00F02EB1" w:rsidRPr="004A09FE" w:rsidTr="00B15A57">
        <w:tc>
          <w:tcPr>
            <w:tcW w:w="4248" w:type="dxa"/>
            <w:shd w:val="clear" w:color="auto" w:fill="EEECE1"/>
          </w:tcPr>
          <w:p w:rsidR="00F02EB1" w:rsidRPr="00C87C18" w:rsidRDefault="00F02EB1" w:rsidP="00F02EB1">
            <w:pPr>
              <w:numPr>
                <w:ilvl w:val="0"/>
                <w:numId w:val="2"/>
              </w:numPr>
              <w:ind w:left="270" w:hanging="270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Analyze the structure of texts, including how specific sentences, paragraphs</w:t>
            </w:r>
            <w:proofErr w:type="gramStart"/>
            <w:r w:rsidRPr="00C87C18">
              <w:rPr>
                <w:sz w:val="16"/>
                <w:szCs w:val="16"/>
              </w:rPr>
              <w:t>,,</w:t>
            </w:r>
            <w:proofErr w:type="gramEnd"/>
            <w:r w:rsidRPr="00C87C18">
              <w:rPr>
                <w:sz w:val="16"/>
                <w:szCs w:val="16"/>
              </w:rPr>
              <w:t xml:space="preserve"> and larger portions of the text, (e.g., a second chapter, scene or stanza) relate to each other and the whole.</w:t>
            </w:r>
          </w:p>
        </w:tc>
        <w:tc>
          <w:tcPr>
            <w:tcW w:w="3420" w:type="dxa"/>
            <w:shd w:val="clear" w:color="auto" w:fill="auto"/>
          </w:tcPr>
          <w:p w:rsidR="00F02EB1" w:rsidRPr="00C87C18" w:rsidRDefault="00F02EB1" w:rsidP="00F02EB1">
            <w:pPr>
              <w:tabs>
                <w:tab w:val="left" w:pos="252"/>
              </w:tabs>
              <w:ind w:left="252" w:hanging="25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5.</w:t>
            </w:r>
            <w:r w:rsidRPr="00C87C18">
              <w:rPr>
                <w:sz w:val="16"/>
                <w:szCs w:val="16"/>
              </w:rPr>
              <w:tab/>
              <w:t xml:space="preserve">Describe how a text presents information (e.g., sequentially, comparatively, </w:t>
            </w:r>
            <w:proofErr w:type="gramStart"/>
            <w:r w:rsidRPr="00C87C18">
              <w:rPr>
                <w:sz w:val="16"/>
                <w:szCs w:val="16"/>
              </w:rPr>
              <w:t>casually</w:t>
            </w:r>
            <w:proofErr w:type="gramEnd"/>
            <w:r w:rsidRPr="00C87C18">
              <w:rPr>
                <w:sz w:val="16"/>
                <w:szCs w:val="16"/>
              </w:rPr>
              <w:t xml:space="preserve">). </w:t>
            </w:r>
          </w:p>
        </w:tc>
        <w:tc>
          <w:tcPr>
            <w:tcW w:w="3330" w:type="dxa"/>
            <w:shd w:val="clear" w:color="auto" w:fill="auto"/>
          </w:tcPr>
          <w:p w:rsidR="00F02EB1" w:rsidRPr="00C87C18" w:rsidRDefault="00F02EB1" w:rsidP="00F02EB1">
            <w:pPr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5.</w:t>
            </w:r>
            <w:r w:rsidRPr="00C87C18">
              <w:rPr>
                <w:sz w:val="16"/>
                <w:szCs w:val="16"/>
              </w:rPr>
              <w:tab/>
              <w:t xml:space="preserve">Analyze how a text uses structure to emphasize key points or advance an explanation or analysis.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F02EB1" w:rsidRPr="00C87C18" w:rsidRDefault="00F02EB1" w:rsidP="00F02EB1">
            <w:pPr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5.</w:t>
            </w:r>
            <w:r w:rsidRPr="00C87C18">
              <w:rPr>
                <w:sz w:val="16"/>
                <w:szCs w:val="16"/>
              </w:rPr>
              <w:tab/>
              <w:t xml:space="preserve">Analyze in detail how a complex primary source is structured, including how key sentences, paragraphs, and larger portions of the text contribute to the whole. </w:t>
            </w:r>
          </w:p>
        </w:tc>
      </w:tr>
      <w:tr w:rsidR="00F02EB1" w:rsidRPr="004A09FE" w:rsidTr="00B15A57">
        <w:tc>
          <w:tcPr>
            <w:tcW w:w="4248" w:type="dxa"/>
            <w:shd w:val="clear" w:color="auto" w:fill="EEECE1"/>
          </w:tcPr>
          <w:p w:rsidR="00F02EB1" w:rsidRPr="00C87C18" w:rsidRDefault="00F02EB1" w:rsidP="00F02EB1">
            <w:pPr>
              <w:numPr>
                <w:ilvl w:val="0"/>
                <w:numId w:val="2"/>
              </w:numPr>
              <w:ind w:left="270" w:hanging="270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Assess how point of view or purpose shapes the content and style of a text.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F02EB1" w:rsidRPr="00C87C18" w:rsidRDefault="00F02EB1" w:rsidP="00F02EB1">
            <w:pPr>
              <w:tabs>
                <w:tab w:val="left" w:pos="342"/>
              </w:tabs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6.</w:t>
            </w:r>
            <w:r w:rsidRPr="00C87C18">
              <w:rPr>
                <w:sz w:val="16"/>
                <w:szCs w:val="16"/>
              </w:rPr>
              <w:tab/>
              <w:t>Identify aspects of a text that reveal an author’s point of view or purpose (e.g., loaded language, inclusion or avoidance of particular facts).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F02EB1" w:rsidRPr="00C87C18" w:rsidRDefault="00F02EB1" w:rsidP="00F02EB1">
            <w:pPr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6.</w:t>
            </w:r>
            <w:r w:rsidRPr="00C87C18">
              <w:rPr>
                <w:sz w:val="16"/>
                <w:szCs w:val="16"/>
              </w:rPr>
              <w:tab/>
              <w:t xml:space="preserve">Compare the point of view of two or more authors for how they treat the same or similar topics including which details they include and emphasize in their respective accounts.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2EB1" w:rsidRPr="00C87C18" w:rsidRDefault="00F02EB1" w:rsidP="00F02EB1">
            <w:pPr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6.</w:t>
            </w:r>
            <w:r w:rsidRPr="00C87C18">
              <w:rPr>
                <w:sz w:val="16"/>
                <w:szCs w:val="16"/>
              </w:rPr>
              <w:tab/>
              <w:t xml:space="preserve">Evaluate authors’ differing points of view on the same historical event or issue by assessing the authors’ claims, reasoning, and evidence. </w:t>
            </w:r>
          </w:p>
        </w:tc>
      </w:tr>
      <w:tr w:rsidR="00F02EB1" w:rsidRPr="004A09FE" w:rsidTr="00B15A57">
        <w:tc>
          <w:tcPr>
            <w:tcW w:w="14508" w:type="dxa"/>
            <w:gridSpan w:val="5"/>
            <w:shd w:val="clear" w:color="auto" w:fill="C4BC96"/>
          </w:tcPr>
          <w:p w:rsidR="00F02EB1" w:rsidRPr="00C87C18" w:rsidRDefault="00F02EB1" w:rsidP="00F02EB1">
            <w:pPr>
              <w:ind w:left="342" w:hanging="342"/>
              <w:rPr>
                <w:sz w:val="16"/>
                <w:szCs w:val="16"/>
              </w:rPr>
            </w:pPr>
            <w:r w:rsidRPr="001757D5">
              <w:rPr>
                <w:b/>
                <w:sz w:val="18"/>
                <w:szCs w:val="18"/>
              </w:rPr>
              <w:t>Integration of Knowledge and Ideas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02EB1" w:rsidRPr="004A09FE" w:rsidTr="00B15A57">
        <w:tc>
          <w:tcPr>
            <w:tcW w:w="4248" w:type="dxa"/>
            <w:shd w:val="clear" w:color="auto" w:fill="EEECE1"/>
          </w:tcPr>
          <w:p w:rsidR="00F02EB1" w:rsidRPr="00C87C18" w:rsidRDefault="00F02EB1" w:rsidP="00F02EB1">
            <w:pPr>
              <w:numPr>
                <w:ilvl w:val="0"/>
                <w:numId w:val="2"/>
              </w:numPr>
              <w:ind w:left="270" w:hanging="270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Integrate and evaluate content presented in diverse formats and media, including visually and quantitatively, as well as in words.</w:t>
            </w:r>
          </w:p>
        </w:tc>
        <w:tc>
          <w:tcPr>
            <w:tcW w:w="3420" w:type="dxa"/>
            <w:shd w:val="clear" w:color="auto" w:fill="auto"/>
          </w:tcPr>
          <w:p w:rsidR="00F02EB1" w:rsidRPr="00C87C18" w:rsidRDefault="00F02EB1" w:rsidP="00F02EB1">
            <w:pPr>
              <w:tabs>
                <w:tab w:val="left" w:pos="342"/>
              </w:tabs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7.</w:t>
            </w:r>
            <w:r w:rsidRPr="00C87C18">
              <w:rPr>
                <w:sz w:val="16"/>
                <w:szCs w:val="16"/>
              </w:rPr>
              <w:tab/>
              <w:t xml:space="preserve">Integrate visual information (e.g., in charts, graphs, photographs, videos, or maps) with other information in print and digital texts. 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F02EB1" w:rsidRPr="00C87C18" w:rsidRDefault="00F02EB1" w:rsidP="00F02EB1">
            <w:pPr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7.</w:t>
            </w:r>
            <w:r w:rsidRPr="00C87C18">
              <w:rPr>
                <w:sz w:val="16"/>
                <w:szCs w:val="16"/>
              </w:rPr>
              <w:tab/>
              <w:t xml:space="preserve">Integrate quantitative or technical analysis (e.g., charts, research data) with qualitative analysis in print or digital text. </w:t>
            </w:r>
          </w:p>
        </w:tc>
        <w:tc>
          <w:tcPr>
            <w:tcW w:w="3420" w:type="dxa"/>
            <w:shd w:val="clear" w:color="auto" w:fill="auto"/>
          </w:tcPr>
          <w:p w:rsidR="00F02EB1" w:rsidRPr="00C87C18" w:rsidRDefault="00F02EB1" w:rsidP="00F02EB1">
            <w:pPr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7.</w:t>
            </w:r>
            <w:r w:rsidRPr="00C87C18">
              <w:rPr>
                <w:sz w:val="16"/>
                <w:szCs w:val="16"/>
              </w:rPr>
              <w:tab/>
              <w:t xml:space="preserve">Integrate and evaluate multiple sources of information presented in diverse formats and media (e.g., visually, quantitatively, as well as in words) in order to address a question or solve a problem. </w:t>
            </w:r>
          </w:p>
        </w:tc>
      </w:tr>
      <w:tr w:rsidR="00F02EB1" w:rsidRPr="004A09FE" w:rsidTr="00B15A57">
        <w:tc>
          <w:tcPr>
            <w:tcW w:w="4248" w:type="dxa"/>
            <w:shd w:val="clear" w:color="auto" w:fill="EEECE1"/>
          </w:tcPr>
          <w:p w:rsidR="00F02EB1" w:rsidRPr="00C87C18" w:rsidRDefault="00F02EB1" w:rsidP="00F02EB1">
            <w:pPr>
              <w:numPr>
                <w:ilvl w:val="0"/>
                <w:numId w:val="2"/>
              </w:numPr>
              <w:ind w:left="270" w:hanging="270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Delineate and evaluate the argument and specific claims in a text, including the validity of the reasoning as well as the relevance and sufficiency of the evidence.</w:t>
            </w:r>
          </w:p>
        </w:tc>
        <w:tc>
          <w:tcPr>
            <w:tcW w:w="3420" w:type="dxa"/>
            <w:shd w:val="clear" w:color="auto" w:fill="auto"/>
          </w:tcPr>
          <w:p w:rsidR="00F02EB1" w:rsidRPr="00C87C18" w:rsidRDefault="00F02EB1" w:rsidP="00F02EB1">
            <w:pPr>
              <w:tabs>
                <w:tab w:val="left" w:pos="342"/>
              </w:tabs>
              <w:ind w:left="342" w:hanging="360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8.</w:t>
            </w:r>
            <w:r w:rsidRPr="00C87C18">
              <w:rPr>
                <w:sz w:val="16"/>
                <w:szCs w:val="16"/>
              </w:rPr>
              <w:tab/>
              <w:t xml:space="preserve">Distinguish among fact, opinion, and reasoned judgment in a text. 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F02EB1" w:rsidRPr="00C87C18" w:rsidRDefault="00F02EB1" w:rsidP="00F02EB1">
            <w:pPr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8.</w:t>
            </w:r>
            <w:r w:rsidRPr="00C87C18">
              <w:rPr>
                <w:sz w:val="16"/>
                <w:szCs w:val="16"/>
              </w:rPr>
              <w:tab/>
              <w:t xml:space="preserve">Assess the extent to which the reasoning and evidence in a text support the author’s claims. </w:t>
            </w:r>
          </w:p>
        </w:tc>
        <w:tc>
          <w:tcPr>
            <w:tcW w:w="3420" w:type="dxa"/>
            <w:shd w:val="clear" w:color="auto" w:fill="auto"/>
          </w:tcPr>
          <w:p w:rsidR="00F02EB1" w:rsidRPr="00C87C18" w:rsidRDefault="00F02EB1" w:rsidP="00F02EB1">
            <w:pPr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8.</w:t>
            </w:r>
            <w:r w:rsidRPr="00C87C18">
              <w:rPr>
                <w:sz w:val="16"/>
                <w:szCs w:val="16"/>
              </w:rPr>
              <w:tab/>
              <w:t xml:space="preserve">Evaluate an author’s premises, claims, and evidence by corroborating or challenging them with other information. </w:t>
            </w:r>
          </w:p>
        </w:tc>
      </w:tr>
      <w:tr w:rsidR="00F02EB1" w:rsidRPr="004A09FE" w:rsidTr="00B15A57">
        <w:tc>
          <w:tcPr>
            <w:tcW w:w="4248" w:type="dxa"/>
            <w:shd w:val="clear" w:color="auto" w:fill="EEECE1"/>
          </w:tcPr>
          <w:p w:rsidR="00F02EB1" w:rsidRPr="00C87C18" w:rsidRDefault="00F02EB1" w:rsidP="00F02EB1">
            <w:pPr>
              <w:numPr>
                <w:ilvl w:val="0"/>
                <w:numId w:val="2"/>
              </w:numPr>
              <w:ind w:left="270" w:hanging="270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Analyze how two or more texts address similar themes or topics in order to build knowledge or to compare the approaches the authors take.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F02EB1" w:rsidRPr="00C87C18" w:rsidRDefault="00F02EB1" w:rsidP="00F02EB1">
            <w:pPr>
              <w:tabs>
                <w:tab w:val="left" w:pos="342"/>
              </w:tabs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9.</w:t>
            </w:r>
            <w:r w:rsidRPr="00C87C18">
              <w:rPr>
                <w:sz w:val="16"/>
                <w:szCs w:val="16"/>
              </w:rPr>
              <w:tab/>
              <w:t xml:space="preserve">Analyze the relationship between a primary and secondary source on the same topic. 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2EB1" w:rsidRPr="00C87C18" w:rsidRDefault="00F02EB1" w:rsidP="00F02EB1">
            <w:pPr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9.</w:t>
            </w:r>
            <w:r w:rsidRPr="00C87C18">
              <w:rPr>
                <w:sz w:val="16"/>
                <w:szCs w:val="16"/>
              </w:rPr>
              <w:tab/>
              <w:t xml:space="preserve">Compare and contrast treatments of the same topic in several primary and secondary sources.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F02EB1" w:rsidRPr="00C87C18" w:rsidRDefault="00F02EB1" w:rsidP="00F02EB1">
            <w:pPr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9.</w:t>
            </w:r>
            <w:r w:rsidRPr="00C87C18">
              <w:rPr>
                <w:sz w:val="16"/>
                <w:szCs w:val="16"/>
              </w:rPr>
              <w:tab/>
              <w:t xml:space="preserve">Integrate information from diverse sources, both primary and secondary, into a coherent understanding of an idea or event, noting discrepancies among sources. </w:t>
            </w:r>
          </w:p>
        </w:tc>
      </w:tr>
      <w:tr w:rsidR="00F02EB1" w:rsidRPr="004A09FE" w:rsidTr="00B15A57">
        <w:tc>
          <w:tcPr>
            <w:tcW w:w="14508" w:type="dxa"/>
            <w:gridSpan w:val="5"/>
            <w:shd w:val="clear" w:color="auto" w:fill="C4BC96"/>
          </w:tcPr>
          <w:p w:rsidR="00F02EB1" w:rsidRPr="00C87C18" w:rsidRDefault="00F02EB1" w:rsidP="00F02EB1">
            <w:pPr>
              <w:ind w:left="342" w:hanging="342"/>
              <w:rPr>
                <w:sz w:val="16"/>
                <w:szCs w:val="16"/>
              </w:rPr>
            </w:pPr>
            <w:r w:rsidRPr="001757D5">
              <w:rPr>
                <w:b/>
                <w:sz w:val="18"/>
                <w:szCs w:val="18"/>
              </w:rPr>
              <w:t>Range of Reading and Level of Text Co</w:t>
            </w:r>
            <w:r>
              <w:rPr>
                <w:b/>
                <w:sz w:val="18"/>
                <w:szCs w:val="18"/>
              </w:rPr>
              <w:t>mplexity</w:t>
            </w:r>
          </w:p>
        </w:tc>
      </w:tr>
      <w:tr w:rsidR="00F02EB1" w:rsidRPr="004A09FE" w:rsidTr="00B15A57">
        <w:tc>
          <w:tcPr>
            <w:tcW w:w="4248" w:type="dxa"/>
            <w:shd w:val="clear" w:color="auto" w:fill="EEECE1"/>
          </w:tcPr>
          <w:p w:rsidR="00F02EB1" w:rsidRPr="00C87C18" w:rsidRDefault="00F02EB1" w:rsidP="00F02EB1">
            <w:pPr>
              <w:numPr>
                <w:ilvl w:val="0"/>
                <w:numId w:val="2"/>
              </w:numPr>
              <w:ind w:left="270" w:hanging="270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Read and comprehend complex literary and information texts independently and proficiently.</w:t>
            </w:r>
          </w:p>
        </w:tc>
        <w:tc>
          <w:tcPr>
            <w:tcW w:w="3420" w:type="dxa"/>
            <w:shd w:val="clear" w:color="auto" w:fill="auto"/>
          </w:tcPr>
          <w:p w:rsidR="00F02EB1" w:rsidRPr="00C87C18" w:rsidRDefault="00F02EB1" w:rsidP="00F02EB1">
            <w:pPr>
              <w:tabs>
                <w:tab w:val="left" w:pos="342"/>
              </w:tabs>
              <w:ind w:left="342" w:hanging="342"/>
              <w:rPr>
                <w:b/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10.</w:t>
            </w:r>
            <w:r w:rsidRPr="00C87C18">
              <w:rPr>
                <w:sz w:val="16"/>
                <w:szCs w:val="16"/>
              </w:rPr>
              <w:tab/>
              <w:t xml:space="preserve">By the end of grade 8, read and comprehend history/social studies texts in the grades 6-8 text complexity band independently and proficiently. 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F02EB1" w:rsidRPr="00C87C18" w:rsidRDefault="00F02EB1" w:rsidP="00F02EB1">
            <w:pPr>
              <w:ind w:left="342" w:hanging="342"/>
              <w:rPr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10.</w:t>
            </w:r>
            <w:r w:rsidRPr="00C87C18">
              <w:rPr>
                <w:sz w:val="16"/>
                <w:szCs w:val="16"/>
              </w:rPr>
              <w:tab/>
              <w:t xml:space="preserve">By the end of grade 10, read and comprehend history/social studies texts in the grades 9-10 text complexity band independently and proficiently. </w:t>
            </w:r>
          </w:p>
        </w:tc>
        <w:tc>
          <w:tcPr>
            <w:tcW w:w="3420" w:type="dxa"/>
            <w:shd w:val="clear" w:color="auto" w:fill="auto"/>
          </w:tcPr>
          <w:p w:rsidR="00F02EB1" w:rsidRPr="00C87C18" w:rsidRDefault="00F02EB1" w:rsidP="00F02EB1">
            <w:pPr>
              <w:ind w:left="342" w:hanging="342"/>
              <w:rPr>
                <w:b/>
                <w:sz w:val="16"/>
                <w:szCs w:val="16"/>
              </w:rPr>
            </w:pPr>
            <w:r w:rsidRPr="00C87C18">
              <w:rPr>
                <w:sz w:val="16"/>
                <w:szCs w:val="16"/>
              </w:rPr>
              <w:t>10.</w:t>
            </w:r>
            <w:r w:rsidRPr="00C87C18">
              <w:rPr>
                <w:sz w:val="16"/>
                <w:szCs w:val="16"/>
              </w:rPr>
              <w:tab/>
              <w:t xml:space="preserve">By the end of grade 12, read and comprehend history/social studies texts in the grades 11-CCR text complexity band independently and proficiently. </w:t>
            </w:r>
          </w:p>
        </w:tc>
      </w:tr>
    </w:tbl>
    <w:p w:rsidR="004C6DA9" w:rsidRDefault="004C6DA9" w:rsidP="00836E4F">
      <w:pPr>
        <w:rPr>
          <w:rFonts w:ascii="Bodoni MT Black" w:hAnsi="Bodoni MT Black"/>
          <w:b/>
          <w:sz w:val="32"/>
          <w:szCs w:val="32"/>
        </w:rPr>
      </w:pPr>
    </w:p>
    <w:sectPr w:rsidR="004C6DA9" w:rsidSect="00046EE4">
      <w:footerReference w:type="default" r:id="rId9"/>
      <w:pgSz w:w="12240" w:h="15840" w:code="1"/>
      <w:pgMar w:top="432" w:right="576" w:bottom="432" w:left="576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47" w:rsidRDefault="00225847" w:rsidP="00046EE4">
      <w:r>
        <w:separator/>
      </w:r>
    </w:p>
  </w:endnote>
  <w:endnote w:type="continuationSeparator" w:id="0">
    <w:p w:rsidR="00225847" w:rsidRDefault="00225847" w:rsidP="00046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E4" w:rsidRDefault="00046EE4">
    <w:pPr>
      <w:pStyle w:val="Footer"/>
    </w:pPr>
    <w:r>
      <w:t>ELA - Reading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47" w:rsidRDefault="00225847" w:rsidP="00046EE4">
      <w:r>
        <w:separator/>
      </w:r>
    </w:p>
  </w:footnote>
  <w:footnote w:type="continuationSeparator" w:id="0">
    <w:p w:rsidR="00225847" w:rsidRDefault="00225847" w:rsidP="00046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AB7"/>
    <w:multiLevelType w:val="hybridMultilevel"/>
    <w:tmpl w:val="34E83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E5E23"/>
    <w:multiLevelType w:val="hybridMultilevel"/>
    <w:tmpl w:val="66E27B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467EC6"/>
    <w:multiLevelType w:val="hybridMultilevel"/>
    <w:tmpl w:val="6AE0770A"/>
    <w:lvl w:ilvl="0" w:tplc="123A7C3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F55E5"/>
    <w:multiLevelType w:val="hybridMultilevel"/>
    <w:tmpl w:val="E6CE31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D33CD"/>
    <w:multiLevelType w:val="hybridMultilevel"/>
    <w:tmpl w:val="10C80D46"/>
    <w:lvl w:ilvl="0" w:tplc="2410F66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56D38"/>
    <w:multiLevelType w:val="hybridMultilevel"/>
    <w:tmpl w:val="7C065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74A96"/>
    <w:multiLevelType w:val="hybridMultilevel"/>
    <w:tmpl w:val="14322F72"/>
    <w:lvl w:ilvl="0" w:tplc="A13A9F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B2B84"/>
    <w:multiLevelType w:val="hybridMultilevel"/>
    <w:tmpl w:val="62500ABC"/>
    <w:lvl w:ilvl="0" w:tplc="FFD8B8F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F1270"/>
    <w:multiLevelType w:val="hybridMultilevel"/>
    <w:tmpl w:val="407AF8BA"/>
    <w:lvl w:ilvl="0" w:tplc="F44EF9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97C71"/>
    <w:multiLevelType w:val="hybridMultilevel"/>
    <w:tmpl w:val="7874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B5E6A"/>
    <w:multiLevelType w:val="hybridMultilevel"/>
    <w:tmpl w:val="1EB209EE"/>
    <w:lvl w:ilvl="0" w:tplc="9AB6C2F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504D4"/>
    <w:multiLevelType w:val="hybridMultilevel"/>
    <w:tmpl w:val="EE667076"/>
    <w:lvl w:ilvl="0" w:tplc="818C6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F96D4D"/>
    <w:multiLevelType w:val="hybridMultilevel"/>
    <w:tmpl w:val="DFA2C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D6681"/>
    <w:multiLevelType w:val="hybridMultilevel"/>
    <w:tmpl w:val="DAF4798A"/>
    <w:lvl w:ilvl="0" w:tplc="DA1E632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170105"/>
    <w:multiLevelType w:val="hybridMultilevel"/>
    <w:tmpl w:val="799AAA02"/>
    <w:lvl w:ilvl="0" w:tplc="CDE214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805691"/>
    <w:multiLevelType w:val="hybridMultilevel"/>
    <w:tmpl w:val="941432CC"/>
    <w:lvl w:ilvl="0" w:tplc="B0E24BB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C5AFE"/>
    <w:multiLevelType w:val="hybridMultilevel"/>
    <w:tmpl w:val="36E66EA0"/>
    <w:lvl w:ilvl="0" w:tplc="468254E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2D1080"/>
    <w:multiLevelType w:val="hybridMultilevel"/>
    <w:tmpl w:val="5A2CDBF4"/>
    <w:lvl w:ilvl="0" w:tplc="9A00979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A501C"/>
    <w:multiLevelType w:val="hybridMultilevel"/>
    <w:tmpl w:val="9C02A5A2"/>
    <w:lvl w:ilvl="0" w:tplc="95A0CA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3424318"/>
    <w:multiLevelType w:val="hybridMultilevel"/>
    <w:tmpl w:val="B4164DBC"/>
    <w:lvl w:ilvl="0" w:tplc="C9BCCA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1E35F9"/>
    <w:multiLevelType w:val="hybridMultilevel"/>
    <w:tmpl w:val="BBCE5C66"/>
    <w:lvl w:ilvl="0" w:tplc="507033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AD5237"/>
    <w:multiLevelType w:val="hybridMultilevel"/>
    <w:tmpl w:val="473AD308"/>
    <w:lvl w:ilvl="0" w:tplc="5640496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C7B53"/>
    <w:multiLevelType w:val="hybridMultilevel"/>
    <w:tmpl w:val="A2DAECB8"/>
    <w:lvl w:ilvl="0" w:tplc="1B62D0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C62FD"/>
    <w:multiLevelType w:val="hybridMultilevel"/>
    <w:tmpl w:val="EAB01F16"/>
    <w:lvl w:ilvl="0" w:tplc="77FC776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D1FAF"/>
    <w:multiLevelType w:val="hybridMultilevel"/>
    <w:tmpl w:val="58008DE6"/>
    <w:lvl w:ilvl="0" w:tplc="C94054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46AD5"/>
    <w:multiLevelType w:val="hybridMultilevel"/>
    <w:tmpl w:val="9B2A1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D24471"/>
    <w:multiLevelType w:val="hybridMultilevel"/>
    <w:tmpl w:val="E10AE37A"/>
    <w:lvl w:ilvl="0" w:tplc="D38C48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033C48"/>
    <w:multiLevelType w:val="hybridMultilevel"/>
    <w:tmpl w:val="D00837D8"/>
    <w:lvl w:ilvl="0" w:tplc="69BE14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FB43C0"/>
    <w:multiLevelType w:val="hybridMultilevel"/>
    <w:tmpl w:val="832EFC02"/>
    <w:lvl w:ilvl="0" w:tplc="A7B6606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B0BAF"/>
    <w:multiLevelType w:val="hybridMultilevel"/>
    <w:tmpl w:val="3030F1B2"/>
    <w:lvl w:ilvl="0" w:tplc="352079C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74D0E"/>
    <w:multiLevelType w:val="hybridMultilevel"/>
    <w:tmpl w:val="F6DE373E"/>
    <w:lvl w:ilvl="0" w:tplc="A03EEFD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86966"/>
    <w:multiLevelType w:val="hybridMultilevel"/>
    <w:tmpl w:val="5CDCE426"/>
    <w:lvl w:ilvl="0" w:tplc="8AE63F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67970"/>
    <w:multiLevelType w:val="hybridMultilevel"/>
    <w:tmpl w:val="174AFA08"/>
    <w:lvl w:ilvl="0" w:tplc="2410F668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E266A"/>
    <w:multiLevelType w:val="hybridMultilevel"/>
    <w:tmpl w:val="6A34D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B55CB"/>
    <w:multiLevelType w:val="hybridMultilevel"/>
    <w:tmpl w:val="2C38E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7567B"/>
    <w:multiLevelType w:val="hybridMultilevel"/>
    <w:tmpl w:val="E2B6E644"/>
    <w:lvl w:ilvl="0" w:tplc="6332D8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53AD0"/>
    <w:multiLevelType w:val="hybridMultilevel"/>
    <w:tmpl w:val="101A080A"/>
    <w:lvl w:ilvl="0" w:tplc="6930DC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41642"/>
    <w:multiLevelType w:val="hybridMultilevel"/>
    <w:tmpl w:val="30220B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20D05"/>
    <w:multiLevelType w:val="hybridMultilevel"/>
    <w:tmpl w:val="2C0E8DFC"/>
    <w:lvl w:ilvl="0" w:tplc="2410F66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00430"/>
    <w:multiLevelType w:val="hybridMultilevel"/>
    <w:tmpl w:val="199E40B4"/>
    <w:lvl w:ilvl="0" w:tplc="8D183B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4A5053"/>
    <w:multiLevelType w:val="hybridMultilevel"/>
    <w:tmpl w:val="72AEF114"/>
    <w:lvl w:ilvl="0" w:tplc="EF24E40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9376B"/>
    <w:multiLevelType w:val="hybridMultilevel"/>
    <w:tmpl w:val="95DCA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A474C"/>
    <w:multiLevelType w:val="hybridMultilevel"/>
    <w:tmpl w:val="C4D2581E"/>
    <w:lvl w:ilvl="0" w:tplc="4A702DD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57F48"/>
    <w:multiLevelType w:val="hybridMultilevel"/>
    <w:tmpl w:val="BB6A459E"/>
    <w:lvl w:ilvl="0" w:tplc="2410F66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200CB6"/>
    <w:multiLevelType w:val="hybridMultilevel"/>
    <w:tmpl w:val="1DE064CA"/>
    <w:lvl w:ilvl="0" w:tplc="99B42F3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24683"/>
    <w:multiLevelType w:val="hybridMultilevel"/>
    <w:tmpl w:val="C9F8B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31E81"/>
    <w:multiLevelType w:val="hybridMultilevel"/>
    <w:tmpl w:val="1DF6A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55021"/>
    <w:multiLevelType w:val="hybridMultilevel"/>
    <w:tmpl w:val="98DEE3F0"/>
    <w:lvl w:ilvl="0" w:tplc="985A4FD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34"/>
  </w:num>
  <w:num w:numId="4">
    <w:abstractNumId w:val="45"/>
  </w:num>
  <w:num w:numId="5">
    <w:abstractNumId w:val="43"/>
  </w:num>
  <w:num w:numId="6">
    <w:abstractNumId w:val="38"/>
  </w:num>
  <w:num w:numId="7">
    <w:abstractNumId w:val="14"/>
  </w:num>
  <w:num w:numId="8">
    <w:abstractNumId w:val="18"/>
  </w:num>
  <w:num w:numId="9">
    <w:abstractNumId w:val="39"/>
  </w:num>
  <w:num w:numId="10">
    <w:abstractNumId w:val="19"/>
  </w:num>
  <w:num w:numId="11">
    <w:abstractNumId w:val="16"/>
  </w:num>
  <w:num w:numId="12">
    <w:abstractNumId w:val="32"/>
  </w:num>
  <w:num w:numId="13">
    <w:abstractNumId w:val="4"/>
  </w:num>
  <w:num w:numId="14">
    <w:abstractNumId w:val="11"/>
  </w:num>
  <w:num w:numId="15">
    <w:abstractNumId w:val="36"/>
  </w:num>
  <w:num w:numId="16">
    <w:abstractNumId w:val="35"/>
  </w:num>
  <w:num w:numId="17">
    <w:abstractNumId w:val="31"/>
  </w:num>
  <w:num w:numId="18">
    <w:abstractNumId w:val="7"/>
  </w:num>
  <w:num w:numId="19">
    <w:abstractNumId w:val="12"/>
  </w:num>
  <w:num w:numId="20">
    <w:abstractNumId w:val="3"/>
  </w:num>
  <w:num w:numId="21">
    <w:abstractNumId w:val="41"/>
  </w:num>
  <w:num w:numId="22">
    <w:abstractNumId w:val="30"/>
  </w:num>
  <w:num w:numId="23">
    <w:abstractNumId w:val="8"/>
  </w:num>
  <w:num w:numId="24">
    <w:abstractNumId w:val="2"/>
  </w:num>
  <w:num w:numId="25">
    <w:abstractNumId w:val="10"/>
  </w:num>
  <w:num w:numId="26">
    <w:abstractNumId w:val="13"/>
  </w:num>
  <w:num w:numId="27">
    <w:abstractNumId w:val="29"/>
  </w:num>
  <w:num w:numId="28">
    <w:abstractNumId w:val="23"/>
  </w:num>
  <w:num w:numId="29">
    <w:abstractNumId w:val="9"/>
  </w:num>
  <w:num w:numId="30">
    <w:abstractNumId w:val="37"/>
  </w:num>
  <w:num w:numId="31">
    <w:abstractNumId w:val="5"/>
  </w:num>
  <w:num w:numId="32">
    <w:abstractNumId w:val="6"/>
  </w:num>
  <w:num w:numId="33">
    <w:abstractNumId w:val="22"/>
  </w:num>
  <w:num w:numId="34">
    <w:abstractNumId w:val="44"/>
  </w:num>
  <w:num w:numId="35">
    <w:abstractNumId w:val="42"/>
  </w:num>
  <w:num w:numId="36">
    <w:abstractNumId w:val="15"/>
  </w:num>
  <w:num w:numId="37">
    <w:abstractNumId w:val="28"/>
  </w:num>
  <w:num w:numId="38">
    <w:abstractNumId w:val="21"/>
  </w:num>
  <w:num w:numId="39">
    <w:abstractNumId w:val="46"/>
  </w:num>
  <w:num w:numId="40">
    <w:abstractNumId w:val="0"/>
  </w:num>
  <w:num w:numId="41">
    <w:abstractNumId w:val="1"/>
  </w:num>
  <w:num w:numId="42">
    <w:abstractNumId w:val="26"/>
  </w:num>
  <w:num w:numId="43">
    <w:abstractNumId w:val="24"/>
  </w:num>
  <w:num w:numId="44">
    <w:abstractNumId w:val="20"/>
  </w:num>
  <w:num w:numId="45">
    <w:abstractNumId w:val="47"/>
  </w:num>
  <w:num w:numId="46">
    <w:abstractNumId w:val="40"/>
  </w:num>
  <w:num w:numId="47">
    <w:abstractNumId w:val="27"/>
  </w:num>
  <w:num w:numId="48">
    <w:abstractNumId w:val="17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9FE"/>
    <w:rsid w:val="00014F15"/>
    <w:rsid w:val="00046EE4"/>
    <w:rsid w:val="00076626"/>
    <w:rsid w:val="0012408E"/>
    <w:rsid w:val="0013078F"/>
    <w:rsid w:val="00162D46"/>
    <w:rsid w:val="001702EB"/>
    <w:rsid w:val="001703E6"/>
    <w:rsid w:val="00170FEB"/>
    <w:rsid w:val="001757D5"/>
    <w:rsid w:val="00190E8D"/>
    <w:rsid w:val="0021456C"/>
    <w:rsid w:val="00217044"/>
    <w:rsid w:val="00225847"/>
    <w:rsid w:val="00233512"/>
    <w:rsid w:val="00233C3C"/>
    <w:rsid w:val="00240A94"/>
    <w:rsid w:val="00281C0B"/>
    <w:rsid w:val="00292C63"/>
    <w:rsid w:val="002A54C1"/>
    <w:rsid w:val="002B293E"/>
    <w:rsid w:val="002C7EEC"/>
    <w:rsid w:val="00311B6B"/>
    <w:rsid w:val="00403B32"/>
    <w:rsid w:val="00405654"/>
    <w:rsid w:val="004206E9"/>
    <w:rsid w:val="004279AF"/>
    <w:rsid w:val="004A09FE"/>
    <w:rsid w:val="004B0A53"/>
    <w:rsid w:val="004C6DA9"/>
    <w:rsid w:val="00536E5D"/>
    <w:rsid w:val="00592D09"/>
    <w:rsid w:val="005D0774"/>
    <w:rsid w:val="005E5682"/>
    <w:rsid w:val="00610F1E"/>
    <w:rsid w:val="00636088"/>
    <w:rsid w:val="006B2D55"/>
    <w:rsid w:val="007170EF"/>
    <w:rsid w:val="00753010"/>
    <w:rsid w:val="0078253B"/>
    <w:rsid w:val="00784618"/>
    <w:rsid w:val="007C35DB"/>
    <w:rsid w:val="007C76D1"/>
    <w:rsid w:val="00824FDF"/>
    <w:rsid w:val="00836E4F"/>
    <w:rsid w:val="008F28FF"/>
    <w:rsid w:val="008F4BE4"/>
    <w:rsid w:val="009D1A1C"/>
    <w:rsid w:val="00A26096"/>
    <w:rsid w:val="00A44770"/>
    <w:rsid w:val="00A71206"/>
    <w:rsid w:val="00A7253B"/>
    <w:rsid w:val="00A740DE"/>
    <w:rsid w:val="00AF646B"/>
    <w:rsid w:val="00B067C1"/>
    <w:rsid w:val="00B1236A"/>
    <w:rsid w:val="00B15A57"/>
    <w:rsid w:val="00B32612"/>
    <w:rsid w:val="00B54E29"/>
    <w:rsid w:val="00B63DB2"/>
    <w:rsid w:val="00C358E2"/>
    <w:rsid w:val="00C87C18"/>
    <w:rsid w:val="00D63F01"/>
    <w:rsid w:val="00DD3377"/>
    <w:rsid w:val="00E327AD"/>
    <w:rsid w:val="00EA55E7"/>
    <w:rsid w:val="00EB3CC7"/>
    <w:rsid w:val="00F02EB1"/>
    <w:rsid w:val="00F52390"/>
    <w:rsid w:val="00F64414"/>
    <w:rsid w:val="00FB3B6A"/>
    <w:rsid w:val="00FF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0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0A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6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EE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46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EE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wacore.gov/iowa-core/subject/liter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07AD-21ED-45FD-B5F5-318E3B5A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Links>
    <vt:vector size="18" baseType="variant">
      <vt:variant>
        <vt:i4>3407919</vt:i4>
      </vt:variant>
      <vt:variant>
        <vt:i4>6</vt:i4>
      </vt:variant>
      <vt:variant>
        <vt:i4>0</vt:i4>
      </vt:variant>
      <vt:variant>
        <vt:i4>5</vt:i4>
      </vt:variant>
      <vt:variant>
        <vt:lpwstr>https://iowacore.gov/iowa-core/subject/literacy</vt:lpwstr>
      </vt:variant>
      <vt:variant>
        <vt:lpwstr/>
      </vt:variant>
      <vt:variant>
        <vt:i4>3407919</vt:i4>
      </vt:variant>
      <vt:variant>
        <vt:i4>3</vt:i4>
      </vt:variant>
      <vt:variant>
        <vt:i4>0</vt:i4>
      </vt:variant>
      <vt:variant>
        <vt:i4>5</vt:i4>
      </vt:variant>
      <vt:variant>
        <vt:lpwstr>https://iowacore.gov/iowa-core/subject/literacy</vt:lpwstr>
      </vt:variant>
      <vt:variant>
        <vt:lpwstr/>
      </vt:variant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https://iowacore.gov/iowa-core/subject/literacy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Schroeder [AEA 267]</dc:creator>
  <cp:lastModifiedBy>Jamie</cp:lastModifiedBy>
  <cp:revision>4</cp:revision>
  <cp:lastPrinted>2015-04-13T20:44:00Z</cp:lastPrinted>
  <dcterms:created xsi:type="dcterms:W3CDTF">2015-04-14T15:12:00Z</dcterms:created>
  <dcterms:modified xsi:type="dcterms:W3CDTF">2015-04-14T15:25:00Z</dcterms:modified>
</cp:coreProperties>
</file>