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4387"/>
        <w:gridCol w:w="4111"/>
        <w:gridCol w:w="3712"/>
      </w:tblGrid>
      <w:tr w:rsidR="002B0550" w:rsidRPr="005E5682" w:rsidTr="005912AE">
        <w:tc>
          <w:tcPr>
            <w:tcW w:w="3528" w:type="dxa"/>
            <w:tcBorders>
              <w:top w:val="nil"/>
              <w:left w:val="nil"/>
            </w:tcBorders>
            <w:shd w:val="clear" w:color="auto" w:fill="auto"/>
          </w:tcPr>
          <w:p w:rsidR="002B0550" w:rsidRPr="00367940" w:rsidRDefault="002B0550" w:rsidP="003B161E">
            <w:pPr>
              <w:jc w:val="center"/>
              <w:rPr>
                <w:b/>
                <w:sz w:val="18"/>
                <w:szCs w:val="18"/>
              </w:rPr>
            </w:pPr>
            <w:r w:rsidRPr="00367940">
              <w:rPr>
                <w:b/>
                <w:sz w:val="18"/>
                <w:szCs w:val="18"/>
              </w:rPr>
              <w:t>College/Career/Citizen Ready Anchor Standards</w:t>
            </w:r>
            <w:r>
              <w:rPr>
                <w:b/>
                <w:sz w:val="18"/>
                <w:szCs w:val="18"/>
              </w:rPr>
              <w:t>-Language</w:t>
            </w:r>
          </w:p>
        </w:tc>
        <w:tc>
          <w:tcPr>
            <w:tcW w:w="6660" w:type="dxa"/>
            <w:shd w:val="clear" w:color="auto" w:fill="000000"/>
          </w:tcPr>
          <w:p w:rsidR="002B0550" w:rsidRPr="00AF2F87" w:rsidRDefault="002B0550" w:rsidP="005C547A">
            <w:pPr>
              <w:jc w:val="center"/>
              <w:rPr>
                <w:color w:val="FFFFFF"/>
                <w:sz w:val="20"/>
                <w:szCs w:val="20"/>
              </w:rPr>
            </w:pPr>
            <w:r w:rsidRPr="00AF2F87">
              <w:rPr>
                <w:color w:val="FFFFFF"/>
                <w:sz w:val="20"/>
                <w:szCs w:val="20"/>
              </w:rPr>
              <w:t>Grade 6 students</w:t>
            </w:r>
          </w:p>
        </w:tc>
        <w:tc>
          <w:tcPr>
            <w:tcW w:w="6750" w:type="dxa"/>
            <w:shd w:val="clear" w:color="auto" w:fill="000000"/>
          </w:tcPr>
          <w:p w:rsidR="002B0550" w:rsidRPr="005E5682" w:rsidRDefault="002B0550" w:rsidP="005C547A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color w:val="FFFFFF"/>
                <w:sz w:val="20"/>
                <w:szCs w:val="20"/>
              </w:rPr>
              <w:t>Grade 7 students</w:t>
            </w:r>
          </w:p>
        </w:tc>
        <w:tc>
          <w:tcPr>
            <w:tcW w:w="6210" w:type="dxa"/>
            <w:shd w:val="clear" w:color="auto" w:fill="000000"/>
          </w:tcPr>
          <w:p w:rsidR="002B0550" w:rsidRPr="005E5682" w:rsidRDefault="00577B39" w:rsidP="005C547A">
            <w:pPr>
              <w:jc w:val="center"/>
              <w:rPr>
                <w:color w:val="FFFFFF"/>
                <w:sz w:val="20"/>
                <w:szCs w:val="20"/>
              </w:rPr>
            </w:pPr>
            <w:r>
              <w:rPr>
                <w:noProof/>
                <w:color w:val="FFFFFF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2.65pt;margin-top:-24.15pt;width:60.65pt;height:36pt;z-index:251658240;mso-position-horizontal-relative:text;mso-position-vertical-relative:text">
                  <v:textbox style="mso-next-textbox:#_x0000_s1027">
                    <w:txbxContent>
                      <w:p w:rsidR="00577B39" w:rsidRPr="00607956" w:rsidRDefault="00607956">
                        <w:pPr>
                          <w:rPr>
                            <w:rStyle w:val="Hyperlink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"https://iowacore.gov/iowa-core/subject/literacy" </w:instrText>
                        </w:r>
                        <w:r>
                          <w:fldChar w:fldCharType="separate"/>
                        </w:r>
                        <w:r w:rsidRPr="00607956">
                          <w:rPr>
                            <w:rStyle w:val="Hyperlink"/>
                          </w:rPr>
                          <w:t>IA Core</w:t>
                        </w:r>
                      </w:p>
                      <w:p w:rsidR="00607956" w:rsidRDefault="00607956">
                        <w:r w:rsidRPr="00607956">
                          <w:rPr>
                            <w:rStyle w:val="Hyperlink"/>
                          </w:rPr>
                          <w:t>Page 68</w:t>
                        </w:r>
                        <w:r>
                          <w:fldChar w:fldCharType="end"/>
                        </w:r>
                      </w:p>
                    </w:txbxContent>
                  </v:textbox>
                </v:shape>
              </w:pict>
            </w:r>
            <w:r w:rsidR="002B0550">
              <w:rPr>
                <w:noProof/>
                <w:color w:val="FFFFFF"/>
                <w:sz w:val="20"/>
                <w:szCs w:val="20"/>
              </w:rPr>
              <w:pict>
                <v:shape id="_x0000_s1026" type="#_x0000_t202" style="position:absolute;left:0;text-align:left;margin-left:278.35pt;margin-top:-24.15pt;width:46.3pt;height:36pt;z-index:251657216;mso-position-horizontal-relative:text;mso-position-vertical-relative:text">
                  <v:textbox style="mso-next-textbox:#_x0000_s1026">
                    <w:txbxContent>
                      <w:p w:rsidR="002B0550" w:rsidRPr="002B0550" w:rsidRDefault="002B05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B0550">
                          <w:rPr>
                            <w:b/>
                            <w:sz w:val="24"/>
                            <w:szCs w:val="24"/>
                          </w:rPr>
                          <w:t>LT.4b</w:t>
                        </w:r>
                      </w:p>
                    </w:txbxContent>
                  </v:textbox>
                </v:shape>
              </w:pict>
            </w:r>
            <w:r w:rsidR="002B0550">
              <w:rPr>
                <w:color w:val="FFFFFF"/>
                <w:sz w:val="20"/>
                <w:szCs w:val="20"/>
              </w:rPr>
              <w:t>Grade 8 students</w:t>
            </w:r>
          </w:p>
        </w:tc>
      </w:tr>
      <w:tr w:rsidR="00B26BE8" w:rsidRPr="00577B39" w:rsidTr="00B26BE8">
        <w:tc>
          <w:tcPr>
            <w:tcW w:w="23148" w:type="dxa"/>
            <w:gridSpan w:val="4"/>
            <w:shd w:val="clear" w:color="auto" w:fill="D9D9D9"/>
          </w:tcPr>
          <w:p w:rsidR="00B26BE8" w:rsidRPr="00577B39" w:rsidRDefault="00B26BE8" w:rsidP="00405BA0">
            <w:pPr>
              <w:rPr>
                <w:b/>
                <w:sz w:val="18"/>
                <w:szCs w:val="18"/>
              </w:rPr>
            </w:pPr>
            <w:r w:rsidRPr="00577B39">
              <w:rPr>
                <w:b/>
                <w:sz w:val="18"/>
                <w:szCs w:val="18"/>
              </w:rPr>
              <w:t>Conventions of Standard English</w:t>
            </w:r>
          </w:p>
        </w:tc>
      </w:tr>
      <w:tr w:rsidR="002B0550" w:rsidRPr="00577B39" w:rsidTr="005912AE">
        <w:tc>
          <w:tcPr>
            <w:tcW w:w="3528" w:type="dxa"/>
            <w:shd w:val="clear" w:color="auto" w:fill="auto"/>
          </w:tcPr>
          <w:p w:rsidR="002B0550" w:rsidRPr="00577B39" w:rsidRDefault="002B0550" w:rsidP="000A3518">
            <w:pPr>
              <w:numPr>
                <w:ilvl w:val="0"/>
                <w:numId w:val="1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Demonstrate</w:t>
            </w:r>
            <w:r w:rsidR="005912AE" w:rsidRPr="00577B39">
              <w:rPr>
                <w:rFonts w:eastAsia="MS PGothic" w:cs="Arial"/>
                <w:bCs/>
                <w:sz w:val="18"/>
                <w:szCs w:val="18"/>
              </w:rPr>
              <w:t xml:space="preserve"> command of the conventions of S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tandard English grammar and usage when writing or speaking.</w:t>
            </w:r>
          </w:p>
        </w:tc>
        <w:tc>
          <w:tcPr>
            <w:tcW w:w="6660" w:type="dxa"/>
          </w:tcPr>
          <w:p w:rsidR="002B0550" w:rsidRPr="00577B39" w:rsidRDefault="002B0550" w:rsidP="005912AE">
            <w:pPr>
              <w:numPr>
                <w:ilvl w:val="0"/>
                <w:numId w:val="2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Ensure that pronouns are in the proper case (subjective, objective, </w:t>
            </w:r>
            <w:r w:rsidR="005912AE" w:rsidRPr="00577B39">
              <w:rPr>
                <w:rFonts w:eastAsia="MS PGothic" w:cs="Arial"/>
                <w:bCs/>
                <w:sz w:val="18"/>
                <w:szCs w:val="18"/>
              </w:rPr>
              <w:t>and possessive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2B0550" w:rsidP="005912AE">
            <w:pPr>
              <w:numPr>
                <w:ilvl w:val="0"/>
                <w:numId w:val="2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Use intensive pronouns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myself, ourselves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2B0550" w:rsidP="005912AE">
            <w:pPr>
              <w:numPr>
                <w:ilvl w:val="0"/>
                <w:numId w:val="2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Recognize and correct inappropriate shifts in pronoun number and person.*</w:t>
            </w:r>
          </w:p>
          <w:p w:rsidR="002B0550" w:rsidRPr="00577B39" w:rsidRDefault="002B0550" w:rsidP="005912AE">
            <w:pPr>
              <w:numPr>
                <w:ilvl w:val="0"/>
                <w:numId w:val="2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Recognize and correct vague pronouns (i.e., ones with unclear or ambiguous antecedents).*</w:t>
            </w:r>
          </w:p>
          <w:p w:rsidR="002B0550" w:rsidRPr="00577B39" w:rsidRDefault="005912AE" w:rsidP="005912AE">
            <w:pPr>
              <w:numPr>
                <w:ilvl w:val="0"/>
                <w:numId w:val="2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Recognize variations from S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tandard English in their own and others’ writing and speaking, and identify and use strategies to improve expression in conventional language.*</w:t>
            </w:r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</w:t>
            </w:r>
            <w:bookmarkStart w:id="0" w:name="OLE_LINK32"/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>L.6.1</w:t>
            </w:r>
            <w:bookmarkEnd w:id="0"/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750" w:type="dxa"/>
          </w:tcPr>
          <w:p w:rsidR="002B0550" w:rsidRPr="00577B39" w:rsidRDefault="002B0550" w:rsidP="005912AE">
            <w:pPr>
              <w:numPr>
                <w:ilvl w:val="0"/>
                <w:numId w:val="2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Explain the function of phrases and clauses in general and their function in specific sentences.</w:t>
            </w:r>
          </w:p>
          <w:p w:rsidR="002B0550" w:rsidRPr="00577B39" w:rsidRDefault="002B0550" w:rsidP="005912AE">
            <w:pPr>
              <w:numPr>
                <w:ilvl w:val="0"/>
                <w:numId w:val="2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Choose among simple, compound, complex, and compound-complex sentences to signal differing relationships among ideas.</w:t>
            </w:r>
          </w:p>
          <w:p w:rsidR="002B0550" w:rsidRPr="00577B39" w:rsidRDefault="002B0550" w:rsidP="005912AE">
            <w:pPr>
              <w:numPr>
                <w:ilvl w:val="0"/>
                <w:numId w:val="2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Place phrases and clauses within a sentence, recognizing and correcting misplaced and dangling modifiers.*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</w:t>
            </w:r>
            <w:bookmarkStart w:id="1" w:name="OLE_LINK37"/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>L.7.1</w:t>
            </w:r>
            <w:bookmarkEnd w:id="1"/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>.)</w:t>
            </w:r>
          </w:p>
        </w:tc>
        <w:tc>
          <w:tcPr>
            <w:tcW w:w="6210" w:type="dxa"/>
          </w:tcPr>
          <w:p w:rsidR="002B0550" w:rsidRPr="00577B39" w:rsidRDefault="002B0550" w:rsidP="005912AE">
            <w:pPr>
              <w:numPr>
                <w:ilvl w:val="0"/>
                <w:numId w:val="29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Explain the function of verbals (gerunds, participles, infinitives) in general and their function in particular sentences.</w:t>
            </w:r>
          </w:p>
          <w:p w:rsidR="002B0550" w:rsidRPr="00577B39" w:rsidRDefault="002B0550" w:rsidP="005912AE">
            <w:pPr>
              <w:numPr>
                <w:ilvl w:val="0"/>
                <w:numId w:val="29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Form and use verbs in the active and passive voice.</w:t>
            </w:r>
          </w:p>
          <w:p w:rsidR="002B0550" w:rsidRPr="00577B39" w:rsidRDefault="002B0550" w:rsidP="005912AE">
            <w:pPr>
              <w:numPr>
                <w:ilvl w:val="0"/>
                <w:numId w:val="29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Form and use verbs in the indicative, imperative, interrogative, conditional, and subjunctive mood.</w:t>
            </w:r>
          </w:p>
          <w:p w:rsidR="002B0550" w:rsidRPr="00577B39" w:rsidRDefault="002B0550" w:rsidP="005912AE">
            <w:pPr>
              <w:numPr>
                <w:ilvl w:val="0"/>
                <w:numId w:val="29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Recognize and correct inappropriate shifts in verb voice and mood.*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</w:t>
            </w:r>
            <w:bookmarkStart w:id="2" w:name="OLE_LINK42"/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>L.8.1</w:t>
            </w:r>
            <w:bookmarkEnd w:id="2"/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>.)</w:t>
            </w:r>
          </w:p>
        </w:tc>
      </w:tr>
      <w:tr w:rsidR="002B0550" w:rsidRPr="00577B39" w:rsidTr="005912AE">
        <w:tc>
          <w:tcPr>
            <w:tcW w:w="3528" w:type="dxa"/>
            <w:shd w:val="clear" w:color="auto" w:fill="auto"/>
          </w:tcPr>
          <w:p w:rsidR="002B0550" w:rsidRPr="00577B39" w:rsidRDefault="00B26BE8" w:rsidP="00B26BE8">
            <w:pPr>
              <w:ind w:left="360" w:hanging="36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2.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Demonstrate</w:t>
            </w:r>
            <w:r w:rsidR="005912AE" w:rsidRPr="00577B39">
              <w:rPr>
                <w:rFonts w:eastAsia="MS PGothic" w:cs="Arial"/>
                <w:bCs/>
                <w:sz w:val="18"/>
                <w:szCs w:val="18"/>
              </w:rPr>
              <w:t xml:space="preserve"> command of the conventions of S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tandard English capitalization, punctuation, and spelling when writing.</w:t>
            </w:r>
          </w:p>
        </w:tc>
        <w:tc>
          <w:tcPr>
            <w:tcW w:w="6660" w:type="dxa"/>
          </w:tcPr>
          <w:p w:rsidR="00B26BE8" w:rsidRPr="00577B39" w:rsidRDefault="002B0550" w:rsidP="00B26BE8">
            <w:pPr>
              <w:numPr>
                <w:ilvl w:val="0"/>
                <w:numId w:val="39"/>
              </w:numPr>
              <w:ind w:left="432" w:hanging="45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punctuation (commas, parentheses, dashes) to set off nonrestrictive/parenthetical elements.*</w:t>
            </w:r>
          </w:p>
          <w:p w:rsidR="002B0550" w:rsidRPr="00577B39" w:rsidRDefault="002B0550" w:rsidP="00B26BE8">
            <w:pPr>
              <w:numPr>
                <w:ilvl w:val="0"/>
                <w:numId w:val="39"/>
              </w:numPr>
              <w:ind w:left="432" w:hanging="45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Spell correctly.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(L.6.2.)</w:t>
            </w:r>
          </w:p>
        </w:tc>
        <w:tc>
          <w:tcPr>
            <w:tcW w:w="6750" w:type="dxa"/>
          </w:tcPr>
          <w:p w:rsidR="002B0550" w:rsidRPr="00577B39" w:rsidRDefault="00B26BE8" w:rsidP="00B26BE8">
            <w:p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a.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 xml:space="preserve">Use a comma to separate coordinate adjectives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It was a fascinating, enjo</w:t>
            </w:r>
            <w:r w:rsidR="002B0550" w:rsidRPr="00577B39">
              <w:rPr>
                <w:rFonts w:eastAsia="MS PGothic" w:cs="Arial"/>
                <w:bCs/>
                <w:i/>
                <w:sz w:val="18"/>
                <w:szCs w:val="18"/>
              </w:rPr>
              <w:t xml:space="preserve">yable movie but not He wore an </w:t>
            </w:r>
            <w:proofErr w:type="gramStart"/>
            <w:r w:rsidR="002B0550" w:rsidRPr="00577B39">
              <w:rPr>
                <w:rFonts w:eastAsia="MS PGothic" w:cs="Arial"/>
                <w:bCs/>
                <w:i/>
                <w:sz w:val="18"/>
                <w:szCs w:val="18"/>
              </w:rPr>
              <w:t>old[</w:t>
            </w:r>
            <w:proofErr w:type="gramEnd"/>
            <w:r w:rsidR="002B0550" w:rsidRPr="00577B39">
              <w:rPr>
                <w:rFonts w:eastAsia="MS PGothic" w:cs="Arial"/>
                <w:bCs/>
                <w:i/>
                <w:sz w:val="18"/>
                <w:szCs w:val="18"/>
              </w:rPr>
              <w:t>,] green shirt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B26BE8" w:rsidP="00B26BE8">
            <w:p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b.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Spell correctly.</w:t>
            </w:r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(L.7.2.)</w:t>
            </w:r>
          </w:p>
        </w:tc>
        <w:tc>
          <w:tcPr>
            <w:tcW w:w="6210" w:type="dxa"/>
          </w:tcPr>
          <w:p w:rsidR="002B0550" w:rsidRPr="00577B39" w:rsidRDefault="002B0550" w:rsidP="005912AE">
            <w:pPr>
              <w:numPr>
                <w:ilvl w:val="0"/>
                <w:numId w:val="32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punctuation (comma, ellipsis, dash) to indicate a pause or break.</w:t>
            </w:r>
          </w:p>
          <w:p w:rsidR="002B0550" w:rsidRPr="00577B39" w:rsidRDefault="002B0550" w:rsidP="005912AE">
            <w:pPr>
              <w:numPr>
                <w:ilvl w:val="0"/>
                <w:numId w:val="32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an ellipsis to indicate an omission.</w:t>
            </w:r>
          </w:p>
          <w:p w:rsidR="002B0550" w:rsidRPr="00577B39" w:rsidRDefault="002B0550" w:rsidP="005912AE">
            <w:pPr>
              <w:numPr>
                <w:ilvl w:val="0"/>
                <w:numId w:val="32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Spell correctly.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(L.8.2.)</w:t>
            </w:r>
          </w:p>
        </w:tc>
      </w:tr>
      <w:tr w:rsidR="00B26BE8" w:rsidRPr="00577B39" w:rsidTr="00B26BE8">
        <w:tc>
          <w:tcPr>
            <w:tcW w:w="23148" w:type="dxa"/>
            <w:gridSpan w:val="4"/>
            <w:shd w:val="clear" w:color="auto" w:fill="D9D9D9"/>
          </w:tcPr>
          <w:p w:rsidR="00B26BE8" w:rsidRPr="00577B39" w:rsidRDefault="00B26BE8" w:rsidP="00405BA0">
            <w:pPr>
              <w:rPr>
                <w:b/>
                <w:sz w:val="18"/>
                <w:szCs w:val="18"/>
              </w:rPr>
            </w:pPr>
            <w:r w:rsidRPr="00577B39">
              <w:rPr>
                <w:b/>
                <w:sz w:val="18"/>
                <w:szCs w:val="18"/>
              </w:rPr>
              <w:t>Knowledge of Language</w:t>
            </w:r>
          </w:p>
        </w:tc>
      </w:tr>
      <w:tr w:rsidR="002B0550" w:rsidRPr="00577B39" w:rsidTr="005912AE">
        <w:trPr>
          <w:trHeight w:val="1160"/>
        </w:trPr>
        <w:tc>
          <w:tcPr>
            <w:tcW w:w="3528" w:type="dxa"/>
            <w:shd w:val="clear" w:color="auto" w:fill="auto"/>
          </w:tcPr>
          <w:p w:rsidR="002B0550" w:rsidRPr="00577B39" w:rsidRDefault="00B26BE8" w:rsidP="00B26BE8">
            <w:pPr>
              <w:ind w:left="360" w:hanging="36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3.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Apply knowledge of language to understand how language functions in different contexts, to make effective choices for meaning or style, and to comprehend more fully when reading or listening.</w:t>
            </w:r>
          </w:p>
        </w:tc>
        <w:tc>
          <w:tcPr>
            <w:tcW w:w="6660" w:type="dxa"/>
          </w:tcPr>
          <w:p w:rsidR="002B0550" w:rsidRPr="00577B39" w:rsidRDefault="00577B39" w:rsidP="00577B39">
            <w:pPr>
              <w:ind w:left="366" w:hanging="366"/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a.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Vary sentence patterns for meaning, reader/listener interest, and style.*</w:t>
            </w:r>
          </w:p>
          <w:p w:rsidR="002B0550" w:rsidRPr="00577B39" w:rsidRDefault="00577B39" w:rsidP="00577B39">
            <w:pPr>
              <w:ind w:left="366" w:hanging="366"/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b.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Maintain consistency in style and tone.*</w:t>
            </w:r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(L.6.3.)</w:t>
            </w:r>
          </w:p>
        </w:tc>
        <w:tc>
          <w:tcPr>
            <w:tcW w:w="6750" w:type="dxa"/>
          </w:tcPr>
          <w:p w:rsidR="002B0550" w:rsidRPr="00577B39" w:rsidRDefault="00577B39" w:rsidP="00577B39">
            <w:pPr>
              <w:ind w:left="389" w:hanging="389"/>
              <w:rPr>
                <w:rFonts w:eastAsia="MS PGothic" w:cs="Arial"/>
                <w:bCs/>
                <w:sz w:val="18"/>
                <w:szCs w:val="18"/>
              </w:rPr>
            </w:pPr>
            <w:r>
              <w:rPr>
                <w:rFonts w:eastAsia="MS PGothic" w:cs="Arial"/>
                <w:bCs/>
                <w:sz w:val="18"/>
                <w:szCs w:val="18"/>
              </w:rPr>
              <w:t xml:space="preserve">a. 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Choose language that expresses ideas precisely and concisely, recognizing and eliminating wordiness and redundancy.*</w:t>
            </w:r>
            <w:r w:rsidR="002B0550"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(L.7.3.) </w:t>
            </w:r>
          </w:p>
          <w:p w:rsidR="002B0550" w:rsidRPr="00577B39" w:rsidRDefault="002B0550" w:rsidP="00EE4199">
            <w:pPr>
              <w:ind w:left="360"/>
              <w:rPr>
                <w:rFonts w:eastAsia="MS PGothic" w:cs="Arial"/>
                <w:bCs/>
                <w:sz w:val="18"/>
                <w:szCs w:val="18"/>
              </w:rPr>
            </w:pPr>
          </w:p>
        </w:tc>
        <w:tc>
          <w:tcPr>
            <w:tcW w:w="6210" w:type="dxa"/>
          </w:tcPr>
          <w:p w:rsidR="002B0550" w:rsidRPr="00577B39" w:rsidRDefault="002B0550" w:rsidP="005912AE">
            <w:pPr>
              <w:numPr>
                <w:ilvl w:val="0"/>
                <w:numId w:val="33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verbs in the active and passive voice and in the conditional and subjunctive mood to achieve particular effects (e.g., emphasizing the actor or the action; expressing uncertainty or describing a state contrary to fact).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(L.8.3.)</w:t>
            </w:r>
          </w:p>
        </w:tc>
      </w:tr>
      <w:tr w:rsidR="00B26BE8" w:rsidRPr="00577B39" w:rsidTr="00B26BE8">
        <w:tc>
          <w:tcPr>
            <w:tcW w:w="23148" w:type="dxa"/>
            <w:gridSpan w:val="4"/>
            <w:shd w:val="clear" w:color="auto" w:fill="BFBFBF"/>
          </w:tcPr>
          <w:p w:rsidR="00B26BE8" w:rsidRPr="00577B39" w:rsidRDefault="00B26BE8" w:rsidP="00750451">
            <w:p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b/>
                <w:sz w:val="18"/>
                <w:szCs w:val="18"/>
              </w:rPr>
              <w:t>Vocabulary Acquisition and Use</w:t>
            </w:r>
          </w:p>
        </w:tc>
      </w:tr>
      <w:tr w:rsidR="002B0550" w:rsidRPr="00577B39" w:rsidTr="005912AE">
        <w:tc>
          <w:tcPr>
            <w:tcW w:w="3528" w:type="dxa"/>
            <w:shd w:val="clear" w:color="auto" w:fill="auto"/>
          </w:tcPr>
          <w:p w:rsidR="002B0550" w:rsidRPr="00577B39" w:rsidRDefault="00B26BE8" w:rsidP="00B26BE8">
            <w:pPr>
              <w:ind w:left="360" w:hanging="36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4.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Determine or clarify the meaning of unknown and multiple-meaning words and phrases by using context clues, analyzing meaningful word parts, and consulting general and specialized reference materials, as appropriate.</w:t>
            </w:r>
          </w:p>
        </w:tc>
        <w:tc>
          <w:tcPr>
            <w:tcW w:w="6660" w:type="dxa"/>
          </w:tcPr>
          <w:p w:rsidR="002B0550" w:rsidRPr="00577B39" w:rsidRDefault="002B0550" w:rsidP="005912AE">
            <w:pPr>
              <w:numPr>
                <w:ilvl w:val="0"/>
                <w:numId w:val="34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context (e.g., the overall meaning of a sentence or paragraph; a word’s position or function in a sentence) as a clue to the meaning of a word or phrase.</w:t>
            </w:r>
          </w:p>
          <w:p w:rsidR="002B0550" w:rsidRPr="00577B39" w:rsidRDefault="002B0550" w:rsidP="005912AE">
            <w:pPr>
              <w:numPr>
                <w:ilvl w:val="0"/>
                <w:numId w:val="34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Use common, grade-appropriate Greek or Latin affixes and roots as clues to the meaning of a word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audience, auditory, audible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2B0550" w:rsidP="005912AE">
            <w:pPr>
              <w:numPr>
                <w:ilvl w:val="0"/>
                <w:numId w:val="34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Consult reference materials (e.g., dictionaries, glossaries, thesauruses), both print and digital, to find the pronunciation of a word or determine or clarify its precise meaning or its part of speech.</w:t>
            </w:r>
          </w:p>
          <w:p w:rsidR="002B0550" w:rsidRPr="00577B39" w:rsidRDefault="002B0550" w:rsidP="005912AE">
            <w:pPr>
              <w:numPr>
                <w:ilvl w:val="0"/>
                <w:numId w:val="34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Verify the preliminary determination of the meaning of a word or phrase (e.g., by checking the inferred meaning in context or in a dictionary).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(L.6.4.)</w:t>
            </w:r>
          </w:p>
        </w:tc>
        <w:tc>
          <w:tcPr>
            <w:tcW w:w="6750" w:type="dxa"/>
          </w:tcPr>
          <w:p w:rsidR="002B0550" w:rsidRPr="00577B39" w:rsidRDefault="002B0550" w:rsidP="005912AE">
            <w:pPr>
              <w:numPr>
                <w:ilvl w:val="0"/>
                <w:numId w:val="3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context (e.g., the overall meaning of a sentence or paragraph; a word’s position or function in a sentence) as a clue to the meaning of a word or phrase.</w:t>
            </w:r>
          </w:p>
          <w:p w:rsidR="002B0550" w:rsidRPr="00577B39" w:rsidRDefault="002B0550" w:rsidP="005912AE">
            <w:pPr>
              <w:numPr>
                <w:ilvl w:val="0"/>
                <w:numId w:val="3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Use common, grade-appropriate Greek or Latin affixes and roots as clues to the meaning of a word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belligerent, bellicose, rebel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2B0550" w:rsidP="005912AE">
            <w:pPr>
              <w:numPr>
                <w:ilvl w:val="0"/>
                <w:numId w:val="3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Consult general and specialized reference materials (e.g., dictionaries, glossaries, thesauruses), both print and digital, to find the pronunciation of a word or determine or clarify its precise meaning or its part of speech.</w:t>
            </w:r>
          </w:p>
          <w:p w:rsidR="002B0550" w:rsidRPr="00577B39" w:rsidRDefault="002B0550" w:rsidP="005912AE">
            <w:pPr>
              <w:numPr>
                <w:ilvl w:val="0"/>
                <w:numId w:val="3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Verify the preliminary determination of the meaning of a word or phrase (e.g., by checking the inferred meaning in context or in a dictionary).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(L.7.4.)</w:t>
            </w:r>
          </w:p>
        </w:tc>
        <w:tc>
          <w:tcPr>
            <w:tcW w:w="6210" w:type="dxa"/>
          </w:tcPr>
          <w:p w:rsidR="002B0550" w:rsidRPr="00577B39" w:rsidRDefault="002B0550" w:rsidP="005912AE">
            <w:pPr>
              <w:numPr>
                <w:ilvl w:val="0"/>
                <w:numId w:val="36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context (e.g., the overall meaning of a sentence or paragraph; a word’s position or function in a sentence) as a clue to the meaning of a word or phrase.</w:t>
            </w:r>
          </w:p>
          <w:p w:rsidR="002B0550" w:rsidRPr="00577B39" w:rsidRDefault="002B0550" w:rsidP="005912AE">
            <w:pPr>
              <w:numPr>
                <w:ilvl w:val="0"/>
                <w:numId w:val="36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Use common, grade-appropriate Greek or Latin affixes and roots as clues to the meaning of a word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 xml:space="preserve">precede, recede, </w:t>
            </w:r>
            <w:proofErr w:type="gramStart"/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secede</w:t>
            </w:r>
            <w:proofErr w:type="gramEnd"/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</w:p>
          <w:p w:rsidR="002B0550" w:rsidRPr="00577B39" w:rsidRDefault="002B0550" w:rsidP="005912AE">
            <w:pPr>
              <w:numPr>
                <w:ilvl w:val="0"/>
                <w:numId w:val="36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Consult general and specialized reference materials (e.g., dictionaries, glossaries, thesauruses), both print and digital, to find the pronunciation of a word or determine or clarify its precise meaning or its part of speech.</w:t>
            </w:r>
          </w:p>
          <w:p w:rsidR="002B0550" w:rsidRPr="00577B39" w:rsidRDefault="002B0550" w:rsidP="005912AE">
            <w:pPr>
              <w:numPr>
                <w:ilvl w:val="0"/>
                <w:numId w:val="36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Verify the preliminary determination of the meaning of a word or phrase (e.g., by checking the inferred meaning in context or in a dictionary).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(L.8.4.)</w:t>
            </w:r>
          </w:p>
          <w:p w:rsidR="00577B39" w:rsidRDefault="00577B39" w:rsidP="00577B39">
            <w:pPr>
              <w:rPr>
                <w:rFonts w:eastAsia="MS PGothic" w:cs="Arial"/>
                <w:b/>
                <w:bCs/>
                <w:sz w:val="18"/>
                <w:szCs w:val="18"/>
              </w:rPr>
            </w:pPr>
          </w:p>
          <w:p w:rsidR="00577B39" w:rsidRDefault="00577B39" w:rsidP="00577B39">
            <w:pPr>
              <w:rPr>
                <w:rFonts w:eastAsia="MS PGothic" w:cs="Arial"/>
                <w:b/>
                <w:bCs/>
                <w:sz w:val="18"/>
                <w:szCs w:val="18"/>
              </w:rPr>
            </w:pPr>
          </w:p>
          <w:p w:rsidR="00577B39" w:rsidRPr="00577B39" w:rsidRDefault="00577B39" w:rsidP="00577B39">
            <w:pPr>
              <w:rPr>
                <w:rFonts w:eastAsia="MS PGothic" w:cs="Arial"/>
                <w:bCs/>
                <w:sz w:val="18"/>
                <w:szCs w:val="18"/>
              </w:rPr>
            </w:pPr>
          </w:p>
        </w:tc>
      </w:tr>
      <w:tr w:rsidR="002B0550" w:rsidRPr="00577B39" w:rsidTr="005912AE">
        <w:tc>
          <w:tcPr>
            <w:tcW w:w="3528" w:type="dxa"/>
            <w:shd w:val="clear" w:color="auto" w:fill="FFFFFF"/>
          </w:tcPr>
          <w:p w:rsidR="002B0550" w:rsidRPr="00577B39" w:rsidRDefault="00B26BE8" w:rsidP="00B26BE8">
            <w:pPr>
              <w:ind w:left="360" w:hanging="36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lastRenderedPageBreak/>
              <w:t xml:space="preserve">5.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 xml:space="preserve">Demonstrate understanding 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of figurative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 xml:space="preserve"> language, word relationships, and nuances in word meanings.</w:t>
            </w:r>
          </w:p>
          <w:p w:rsidR="002B0550" w:rsidRPr="00577B39" w:rsidRDefault="002B0550" w:rsidP="00B26BE8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666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3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Interpret figures of speech (e.g., personification) in context.</w:t>
            </w:r>
          </w:p>
          <w:p w:rsidR="002B0550" w:rsidRPr="00577B39" w:rsidRDefault="002B0550" w:rsidP="005912AE">
            <w:pPr>
              <w:numPr>
                <w:ilvl w:val="0"/>
                <w:numId w:val="3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the relationship between particular words (e.g., cause/effect, part/whole, item/category) to better understand each of the words</w:t>
            </w:r>
          </w:p>
          <w:p w:rsidR="002B0550" w:rsidRPr="00577B39" w:rsidRDefault="002B0550" w:rsidP="005912AE">
            <w:pPr>
              <w:numPr>
                <w:ilvl w:val="0"/>
                <w:numId w:val="38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Distinguish among the connotations (associations) of words with similar d</w:t>
            </w:r>
            <w:r w:rsidR="005912AE" w:rsidRPr="00577B39">
              <w:rPr>
                <w:rFonts w:eastAsia="MS PGothic" w:cs="Arial"/>
                <w:bCs/>
                <w:sz w:val="18"/>
                <w:szCs w:val="18"/>
              </w:rPr>
              <w:t xml:space="preserve">enotations (definitions) (e.g.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 xml:space="preserve">stingy, scrimping, economical, </w:t>
            </w:r>
            <w:proofErr w:type="spellStart"/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unwasteful</w:t>
            </w:r>
            <w:proofErr w:type="spellEnd"/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 xml:space="preserve">, </w:t>
            </w:r>
            <w:proofErr w:type="gramStart"/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thrifty</w:t>
            </w:r>
            <w:proofErr w:type="gramEnd"/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(L.6.5.)</w:t>
            </w:r>
          </w:p>
        </w:tc>
        <w:tc>
          <w:tcPr>
            <w:tcW w:w="675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2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Interpret figures of speech (e.g., literary, biblical, and mythological allusions) in context.</w:t>
            </w:r>
          </w:p>
          <w:p w:rsidR="002B0550" w:rsidRPr="00577B39" w:rsidRDefault="002B0550" w:rsidP="005912AE">
            <w:pPr>
              <w:numPr>
                <w:ilvl w:val="0"/>
                <w:numId w:val="2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the relationship between particular words (e.g., synonym/antonym, analogy) to better understand each of the words.</w:t>
            </w:r>
          </w:p>
          <w:p w:rsidR="002B0550" w:rsidRPr="00577B39" w:rsidRDefault="002B0550" w:rsidP="005912AE">
            <w:pPr>
              <w:numPr>
                <w:ilvl w:val="0"/>
                <w:numId w:val="25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Distinguish among the connotations (associations) of words with similar denotations (definitions)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refined, respectful, polite, diplomatic, condescending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(L.7.5.)</w:t>
            </w:r>
          </w:p>
        </w:tc>
        <w:tc>
          <w:tcPr>
            <w:tcW w:w="621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16"/>
              </w:numPr>
              <w:rPr>
                <w:rFonts w:eastAsia="MS PGothic" w:cs="Arial"/>
                <w:bCs/>
                <w:sz w:val="18"/>
                <w:szCs w:val="18"/>
              </w:rPr>
            </w:pPr>
          </w:p>
          <w:p w:rsidR="002B0550" w:rsidRPr="00577B39" w:rsidRDefault="002B0550" w:rsidP="005912AE">
            <w:pPr>
              <w:numPr>
                <w:ilvl w:val="0"/>
                <w:numId w:val="3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Interpret figures of speech (e.g. verbal irony, puns) in context.</w:t>
            </w:r>
          </w:p>
          <w:p w:rsidR="002B0550" w:rsidRPr="00577B39" w:rsidRDefault="002B0550" w:rsidP="005912AE">
            <w:pPr>
              <w:numPr>
                <w:ilvl w:val="0"/>
                <w:numId w:val="3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Use the relationship between particular words to better understand each of the words.</w:t>
            </w:r>
          </w:p>
          <w:p w:rsidR="002B0550" w:rsidRPr="00577B39" w:rsidRDefault="002B0550" w:rsidP="005912AE">
            <w:pPr>
              <w:numPr>
                <w:ilvl w:val="0"/>
                <w:numId w:val="37"/>
              </w:numPr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Distinguish among the connotations (associations) of words with similar denotations (definitions) (e.g., </w:t>
            </w:r>
            <w:r w:rsidRPr="00577B39">
              <w:rPr>
                <w:rFonts w:eastAsia="MS PGothic" w:cs="Arial"/>
                <w:bCs/>
                <w:i/>
                <w:sz w:val="18"/>
                <w:szCs w:val="18"/>
              </w:rPr>
              <w:t>bullheaded, willful, firm, persistent, resolute</w:t>
            </w:r>
            <w:r w:rsidRPr="00577B39">
              <w:rPr>
                <w:rFonts w:eastAsia="MS PGothic" w:cs="Arial"/>
                <w:bCs/>
                <w:sz w:val="18"/>
                <w:szCs w:val="18"/>
              </w:rPr>
              <w:t>).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(L.8.5.)</w:t>
            </w:r>
          </w:p>
        </w:tc>
      </w:tr>
      <w:tr w:rsidR="002B0550" w:rsidRPr="00577B39" w:rsidTr="005912AE">
        <w:tc>
          <w:tcPr>
            <w:tcW w:w="3528" w:type="dxa"/>
            <w:shd w:val="clear" w:color="auto" w:fill="FFFFFF"/>
          </w:tcPr>
          <w:p w:rsidR="002B0550" w:rsidRPr="00577B39" w:rsidRDefault="00B26BE8" w:rsidP="00B26BE8">
            <w:pPr>
              <w:ind w:left="360" w:hanging="360"/>
              <w:rPr>
                <w:rFonts w:eastAsia="MS PGothic" w:cs="Arial"/>
                <w:bCs/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 xml:space="preserve">6.      </w:t>
            </w:r>
            <w:r w:rsidR="002B0550" w:rsidRPr="00577B39">
              <w:rPr>
                <w:rFonts w:eastAsia="MS PGothic" w:cs="Arial"/>
                <w:bCs/>
                <w:sz w:val="18"/>
                <w:szCs w:val="18"/>
              </w:rPr>
              <w:t>Acquire and use accurately a range of general academic and domain-specific words and phrases sufficient for reading, writing, speaking, and listening at the college and career readiness level; demonstrate independence in gathering vocabulary knowledge when considering a word or phrase important to comprehension or expression.</w:t>
            </w:r>
          </w:p>
        </w:tc>
        <w:tc>
          <w:tcPr>
            <w:tcW w:w="666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(L.6.6.)</w:t>
            </w:r>
          </w:p>
        </w:tc>
        <w:tc>
          <w:tcPr>
            <w:tcW w:w="675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22"/>
              </w:numPr>
              <w:rPr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Acquire and use accurately grade-appropriate general academic and domain-specific words and phrases; gather vocabulary knowledge when considering a word or phrase important to comprehension or expression.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(L.7.6.) </w:t>
            </w:r>
          </w:p>
          <w:p w:rsidR="002B0550" w:rsidRPr="00577B39" w:rsidRDefault="002B0550" w:rsidP="00E047FA">
            <w:pPr>
              <w:ind w:firstLine="720"/>
              <w:rPr>
                <w:sz w:val="18"/>
                <w:szCs w:val="18"/>
              </w:rPr>
            </w:pPr>
          </w:p>
        </w:tc>
        <w:tc>
          <w:tcPr>
            <w:tcW w:w="6210" w:type="dxa"/>
            <w:shd w:val="clear" w:color="auto" w:fill="FFFFFF"/>
          </w:tcPr>
          <w:p w:rsidR="002B0550" w:rsidRPr="00577B39" w:rsidRDefault="002B0550" w:rsidP="005912AE">
            <w:pPr>
              <w:numPr>
                <w:ilvl w:val="0"/>
                <w:numId w:val="23"/>
              </w:numPr>
              <w:rPr>
                <w:sz w:val="18"/>
                <w:szCs w:val="18"/>
              </w:rPr>
            </w:pPr>
            <w:r w:rsidRPr="00577B39">
              <w:rPr>
                <w:rFonts w:eastAsia="MS PGothic" w:cs="Arial"/>
                <w:bCs/>
                <w:sz w:val="18"/>
                <w:szCs w:val="18"/>
              </w:rPr>
              <w:t>Acquire and use accurately grade-appropriate general academic and domain-specific words and phrases; gather vocabulary knowledge when considering a word or phrase important to comprehension or expression.)</w:t>
            </w:r>
            <w:r w:rsidRPr="00577B39">
              <w:rPr>
                <w:rFonts w:eastAsia="MS PGothic" w:cs="Arial"/>
                <w:b/>
                <w:bCs/>
                <w:sz w:val="18"/>
                <w:szCs w:val="18"/>
              </w:rPr>
              <w:t xml:space="preserve"> (L.8.6.)</w:t>
            </w:r>
          </w:p>
        </w:tc>
      </w:tr>
    </w:tbl>
    <w:p w:rsidR="00190E8D" w:rsidRPr="00577B39" w:rsidRDefault="00190E8D" w:rsidP="006B70E9">
      <w:pPr>
        <w:rPr>
          <w:b/>
          <w:sz w:val="18"/>
          <w:szCs w:val="18"/>
        </w:rPr>
      </w:pPr>
    </w:p>
    <w:sectPr w:rsidR="00190E8D" w:rsidRPr="00577B39" w:rsidSect="00577B39">
      <w:footerReference w:type="default" r:id="rId8"/>
      <w:pgSz w:w="15840" w:h="12240" w:orient="landscape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B07" w:rsidRDefault="005C5B07" w:rsidP="007A4EC6">
      <w:r>
        <w:separator/>
      </w:r>
    </w:p>
  </w:endnote>
  <w:endnote w:type="continuationSeparator" w:id="0">
    <w:p w:rsidR="005C5B07" w:rsidRDefault="005C5B07" w:rsidP="007A4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EC6" w:rsidRDefault="007A4EC6">
    <w:pPr>
      <w:pStyle w:val="Footer"/>
    </w:pPr>
    <w:r>
      <w:t xml:space="preserve">ELA – Language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B07" w:rsidRDefault="005C5B07" w:rsidP="007A4EC6">
      <w:r>
        <w:separator/>
      </w:r>
    </w:p>
  </w:footnote>
  <w:footnote w:type="continuationSeparator" w:id="0">
    <w:p w:rsidR="005C5B07" w:rsidRDefault="005C5B07" w:rsidP="007A4E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0C9"/>
    <w:multiLevelType w:val="hybridMultilevel"/>
    <w:tmpl w:val="A028B6D0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4F16AD"/>
    <w:multiLevelType w:val="multilevel"/>
    <w:tmpl w:val="1AD85B08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4321C17"/>
    <w:multiLevelType w:val="hybridMultilevel"/>
    <w:tmpl w:val="91224F1E"/>
    <w:lvl w:ilvl="0" w:tplc="CF42A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810E4"/>
    <w:multiLevelType w:val="hybridMultilevel"/>
    <w:tmpl w:val="7D328664"/>
    <w:lvl w:ilvl="0" w:tplc="16506BE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2498B"/>
    <w:multiLevelType w:val="hybridMultilevel"/>
    <w:tmpl w:val="4FEEF0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753A1"/>
    <w:multiLevelType w:val="hybridMultilevel"/>
    <w:tmpl w:val="E5360B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D2845"/>
    <w:multiLevelType w:val="hybridMultilevel"/>
    <w:tmpl w:val="504CF6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35EFB"/>
    <w:multiLevelType w:val="hybridMultilevel"/>
    <w:tmpl w:val="6E007EB4"/>
    <w:lvl w:ilvl="0" w:tplc="3E68ABE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F4683"/>
    <w:multiLevelType w:val="multilevel"/>
    <w:tmpl w:val="A17E0CF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4FF23E5"/>
    <w:multiLevelType w:val="multilevel"/>
    <w:tmpl w:val="8E7491E2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6804F75"/>
    <w:multiLevelType w:val="hybridMultilevel"/>
    <w:tmpl w:val="0C682C12"/>
    <w:lvl w:ilvl="0" w:tplc="FA96F3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D54666"/>
    <w:multiLevelType w:val="hybridMultilevel"/>
    <w:tmpl w:val="B6A6A398"/>
    <w:lvl w:ilvl="0" w:tplc="76F868D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F73C2"/>
    <w:multiLevelType w:val="hybridMultilevel"/>
    <w:tmpl w:val="52504B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B32F9"/>
    <w:multiLevelType w:val="hybridMultilevel"/>
    <w:tmpl w:val="74E02DA6"/>
    <w:lvl w:ilvl="0" w:tplc="39EA10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B4B63"/>
    <w:multiLevelType w:val="hybridMultilevel"/>
    <w:tmpl w:val="CC56826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7D7F75"/>
    <w:multiLevelType w:val="hybridMultilevel"/>
    <w:tmpl w:val="242CF57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36BB0"/>
    <w:multiLevelType w:val="hybridMultilevel"/>
    <w:tmpl w:val="0F0455A2"/>
    <w:lvl w:ilvl="0" w:tplc="DA36D71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3D58D5"/>
    <w:multiLevelType w:val="hybridMultilevel"/>
    <w:tmpl w:val="721AD62A"/>
    <w:lvl w:ilvl="0" w:tplc="6706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6E1443"/>
    <w:multiLevelType w:val="multilevel"/>
    <w:tmpl w:val="1088B656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5A35157"/>
    <w:multiLevelType w:val="hybridMultilevel"/>
    <w:tmpl w:val="7D94F6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45F42"/>
    <w:multiLevelType w:val="hybridMultilevel"/>
    <w:tmpl w:val="D07C9AA8"/>
    <w:lvl w:ilvl="0" w:tplc="17BCE1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B0B4F"/>
    <w:multiLevelType w:val="hybridMultilevel"/>
    <w:tmpl w:val="FE3ABA54"/>
    <w:lvl w:ilvl="0" w:tplc="D3B6682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16ABA"/>
    <w:multiLevelType w:val="multilevel"/>
    <w:tmpl w:val="A3A0DA8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AC50CD8"/>
    <w:multiLevelType w:val="hybridMultilevel"/>
    <w:tmpl w:val="684E02E4"/>
    <w:lvl w:ilvl="0" w:tplc="8B7444E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8D329A"/>
    <w:multiLevelType w:val="hybridMultilevel"/>
    <w:tmpl w:val="E4729E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54B57"/>
    <w:multiLevelType w:val="hybridMultilevel"/>
    <w:tmpl w:val="3EDAA5B6"/>
    <w:lvl w:ilvl="0" w:tplc="1D5EFF2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A0A67"/>
    <w:multiLevelType w:val="hybridMultilevel"/>
    <w:tmpl w:val="6810AA68"/>
    <w:lvl w:ilvl="0" w:tplc="EED4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A6024C"/>
    <w:multiLevelType w:val="multilevel"/>
    <w:tmpl w:val="D096A5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69ED76DD"/>
    <w:multiLevelType w:val="hybridMultilevel"/>
    <w:tmpl w:val="7E948F56"/>
    <w:lvl w:ilvl="0" w:tplc="E272AF9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0CE1"/>
    <w:multiLevelType w:val="hybridMultilevel"/>
    <w:tmpl w:val="263C41FC"/>
    <w:lvl w:ilvl="0" w:tplc="AE16FD4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9E48E4"/>
    <w:multiLevelType w:val="multilevel"/>
    <w:tmpl w:val="CE3A3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6DF767EA"/>
    <w:multiLevelType w:val="hybridMultilevel"/>
    <w:tmpl w:val="8EDC051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845A12"/>
    <w:multiLevelType w:val="hybridMultilevel"/>
    <w:tmpl w:val="64C8D62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57F48"/>
    <w:multiLevelType w:val="hybridMultilevel"/>
    <w:tmpl w:val="BB6A459E"/>
    <w:lvl w:ilvl="0" w:tplc="2410F66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0F06D0B"/>
    <w:multiLevelType w:val="hybridMultilevel"/>
    <w:tmpl w:val="34F891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035940"/>
    <w:multiLevelType w:val="multilevel"/>
    <w:tmpl w:val="9D3EC4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>
    <w:nsid w:val="72A44473"/>
    <w:multiLevelType w:val="hybridMultilevel"/>
    <w:tmpl w:val="86561CB8"/>
    <w:lvl w:ilvl="0" w:tplc="CDCEE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6660B"/>
    <w:multiLevelType w:val="hybridMultilevel"/>
    <w:tmpl w:val="001ECB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584E5F"/>
    <w:multiLevelType w:val="hybridMultilevel"/>
    <w:tmpl w:val="B066CC28"/>
    <w:lvl w:ilvl="0" w:tplc="A424A06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29"/>
  </w:num>
  <w:num w:numId="4">
    <w:abstractNumId w:val="17"/>
  </w:num>
  <w:num w:numId="5">
    <w:abstractNumId w:val="38"/>
  </w:num>
  <w:num w:numId="6">
    <w:abstractNumId w:val="13"/>
  </w:num>
  <w:num w:numId="7">
    <w:abstractNumId w:val="26"/>
  </w:num>
  <w:num w:numId="8">
    <w:abstractNumId w:val="36"/>
  </w:num>
  <w:num w:numId="9">
    <w:abstractNumId w:val="2"/>
  </w:num>
  <w:num w:numId="10">
    <w:abstractNumId w:val="23"/>
  </w:num>
  <w:num w:numId="11">
    <w:abstractNumId w:val="34"/>
  </w:num>
  <w:num w:numId="12">
    <w:abstractNumId w:val="4"/>
  </w:num>
  <w:num w:numId="13">
    <w:abstractNumId w:val="10"/>
  </w:num>
  <w:num w:numId="14">
    <w:abstractNumId w:val="1"/>
  </w:num>
  <w:num w:numId="15">
    <w:abstractNumId w:val="27"/>
  </w:num>
  <w:num w:numId="16">
    <w:abstractNumId w:val="20"/>
  </w:num>
  <w:num w:numId="17">
    <w:abstractNumId w:val="3"/>
  </w:num>
  <w:num w:numId="18">
    <w:abstractNumId w:val="21"/>
  </w:num>
  <w:num w:numId="19">
    <w:abstractNumId w:val="25"/>
  </w:num>
  <w:num w:numId="20">
    <w:abstractNumId w:val="35"/>
  </w:num>
  <w:num w:numId="21">
    <w:abstractNumId w:val="7"/>
  </w:num>
  <w:num w:numId="22">
    <w:abstractNumId w:val="28"/>
  </w:num>
  <w:num w:numId="23">
    <w:abstractNumId w:val="11"/>
  </w:num>
  <w:num w:numId="24">
    <w:abstractNumId w:val="22"/>
  </w:num>
  <w:num w:numId="25">
    <w:abstractNumId w:val="18"/>
  </w:num>
  <w:num w:numId="26">
    <w:abstractNumId w:val="16"/>
  </w:num>
  <w:num w:numId="27">
    <w:abstractNumId w:val="24"/>
  </w:num>
  <w:num w:numId="28">
    <w:abstractNumId w:val="15"/>
  </w:num>
  <w:num w:numId="29">
    <w:abstractNumId w:val="31"/>
  </w:num>
  <w:num w:numId="30">
    <w:abstractNumId w:val="6"/>
  </w:num>
  <w:num w:numId="31">
    <w:abstractNumId w:val="32"/>
  </w:num>
  <w:num w:numId="32">
    <w:abstractNumId w:val="37"/>
  </w:num>
  <w:num w:numId="33">
    <w:abstractNumId w:val="9"/>
  </w:num>
  <w:num w:numId="34">
    <w:abstractNumId w:val="0"/>
  </w:num>
  <w:num w:numId="35">
    <w:abstractNumId w:val="14"/>
  </w:num>
  <w:num w:numId="36">
    <w:abstractNumId w:val="19"/>
  </w:num>
  <w:num w:numId="37">
    <w:abstractNumId w:val="12"/>
  </w:num>
  <w:num w:numId="38">
    <w:abstractNumId w:val="8"/>
  </w:num>
  <w:num w:numId="39">
    <w:abstractNumId w:val="5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9FE"/>
    <w:rsid w:val="000042AA"/>
    <w:rsid w:val="000436AB"/>
    <w:rsid w:val="000A3518"/>
    <w:rsid w:val="000B3111"/>
    <w:rsid w:val="0013078F"/>
    <w:rsid w:val="001702EB"/>
    <w:rsid w:val="001703E6"/>
    <w:rsid w:val="00170FEB"/>
    <w:rsid w:val="001757D5"/>
    <w:rsid w:val="00190E8D"/>
    <w:rsid w:val="001970FF"/>
    <w:rsid w:val="0021456C"/>
    <w:rsid w:val="00233512"/>
    <w:rsid w:val="00233C3C"/>
    <w:rsid w:val="00281C0B"/>
    <w:rsid w:val="00292C63"/>
    <w:rsid w:val="002B0550"/>
    <w:rsid w:val="002C7EEC"/>
    <w:rsid w:val="002F6A36"/>
    <w:rsid w:val="00367940"/>
    <w:rsid w:val="003A5E8F"/>
    <w:rsid w:val="003B161E"/>
    <w:rsid w:val="003B1D85"/>
    <w:rsid w:val="00403B32"/>
    <w:rsid w:val="00405654"/>
    <w:rsid w:val="00405BA0"/>
    <w:rsid w:val="004206E9"/>
    <w:rsid w:val="004279AF"/>
    <w:rsid w:val="004A09FE"/>
    <w:rsid w:val="004B35F5"/>
    <w:rsid w:val="00507F72"/>
    <w:rsid w:val="00536E5D"/>
    <w:rsid w:val="00577B39"/>
    <w:rsid w:val="005912AE"/>
    <w:rsid w:val="00592D09"/>
    <w:rsid w:val="005C547A"/>
    <w:rsid w:val="005C5B07"/>
    <w:rsid w:val="005C767F"/>
    <w:rsid w:val="005D0774"/>
    <w:rsid w:val="005E5682"/>
    <w:rsid w:val="00607956"/>
    <w:rsid w:val="00610F1E"/>
    <w:rsid w:val="00636088"/>
    <w:rsid w:val="00636398"/>
    <w:rsid w:val="00666B3F"/>
    <w:rsid w:val="006B70E9"/>
    <w:rsid w:val="006D4DE2"/>
    <w:rsid w:val="006F0715"/>
    <w:rsid w:val="007170EF"/>
    <w:rsid w:val="007271D7"/>
    <w:rsid w:val="00750451"/>
    <w:rsid w:val="00753010"/>
    <w:rsid w:val="0078253B"/>
    <w:rsid w:val="007A4EC6"/>
    <w:rsid w:val="007B688F"/>
    <w:rsid w:val="00893F52"/>
    <w:rsid w:val="008F4BE4"/>
    <w:rsid w:val="00951359"/>
    <w:rsid w:val="009D1A1C"/>
    <w:rsid w:val="00A26096"/>
    <w:rsid w:val="00A44770"/>
    <w:rsid w:val="00A71206"/>
    <w:rsid w:val="00A740DE"/>
    <w:rsid w:val="00A92FA7"/>
    <w:rsid w:val="00AF2F87"/>
    <w:rsid w:val="00AF646B"/>
    <w:rsid w:val="00AF7C2A"/>
    <w:rsid w:val="00B067C1"/>
    <w:rsid w:val="00B26BE8"/>
    <w:rsid w:val="00B32612"/>
    <w:rsid w:val="00B63DB2"/>
    <w:rsid w:val="00BC3AE7"/>
    <w:rsid w:val="00BC7136"/>
    <w:rsid w:val="00C358E2"/>
    <w:rsid w:val="00C87C18"/>
    <w:rsid w:val="00D63F01"/>
    <w:rsid w:val="00D93165"/>
    <w:rsid w:val="00DD190B"/>
    <w:rsid w:val="00DD3377"/>
    <w:rsid w:val="00DE357C"/>
    <w:rsid w:val="00E047FA"/>
    <w:rsid w:val="00E20C6C"/>
    <w:rsid w:val="00E32811"/>
    <w:rsid w:val="00EA55E7"/>
    <w:rsid w:val="00EB3CC7"/>
    <w:rsid w:val="00EE4199"/>
    <w:rsid w:val="00F855D9"/>
    <w:rsid w:val="00FC12BB"/>
    <w:rsid w:val="00FF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0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3010"/>
    <w:rPr>
      <w:rFonts w:ascii="Tahoma" w:hAnsi="Tahoma" w:cs="Tahoma"/>
      <w:sz w:val="16"/>
      <w:szCs w:val="16"/>
    </w:rPr>
  </w:style>
  <w:style w:type="paragraph" w:customStyle="1" w:styleId="CoreHeading2">
    <w:name w:val="CoreHeading2"/>
    <w:basedOn w:val="Normal"/>
    <w:link w:val="CoreHeading2Char"/>
    <w:qFormat/>
    <w:rsid w:val="004B35F5"/>
    <w:rPr>
      <w:rFonts w:eastAsia="MS PGothic" w:cs="Arial"/>
      <w:b/>
      <w:bCs/>
      <w:sz w:val="36"/>
      <w:szCs w:val="36"/>
    </w:rPr>
  </w:style>
  <w:style w:type="character" w:customStyle="1" w:styleId="CoreHeading2Char">
    <w:name w:val="CoreHeading2 Char"/>
    <w:link w:val="CoreHeading2"/>
    <w:rsid w:val="004B35F5"/>
    <w:rPr>
      <w:rFonts w:eastAsia="MS PGothic" w:cs="Arial"/>
      <w:b/>
      <w:bCs/>
      <w:sz w:val="36"/>
      <w:szCs w:val="36"/>
    </w:rPr>
  </w:style>
  <w:style w:type="paragraph" w:customStyle="1" w:styleId="Footnote">
    <w:name w:val="Footnote"/>
    <w:basedOn w:val="Normal"/>
    <w:link w:val="FootnoteChar"/>
    <w:qFormat/>
    <w:rsid w:val="004B35F5"/>
    <w:pPr>
      <w:autoSpaceDE w:val="0"/>
      <w:autoSpaceDN w:val="0"/>
      <w:adjustRightInd w:val="0"/>
    </w:pPr>
    <w:rPr>
      <w:rFonts w:eastAsia="MS PGothic"/>
      <w:bCs/>
      <w:color w:val="000000"/>
      <w:sz w:val="18"/>
      <w:szCs w:val="20"/>
    </w:rPr>
  </w:style>
  <w:style w:type="character" w:customStyle="1" w:styleId="FootnoteChar">
    <w:name w:val="Footnote Char"/>
    <w:link w:val="Footnote"/>
    <w:rsid w:val="004B35F5"/>
    <w:rPr>
      <w:rFonts w:eastAsia="MS PGothic"/>
      <w:bCs/>
      <w:color w:val="000000"/>
      <w:sz w:val="18"/>
    </w:rPr>
  </w:style>
  <w:style w:type="character" w:styleId="Hyperlink">
    <w:name w:val="Hyperlink"/>
    <w:uiPriority w:val="99"/>
    <w:unhideWhenUsed/>
    <w:rsid w:val="0060795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A4E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EC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A4E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4EC6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A4EC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6733-ABEA-4009-A8C0-E750B515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7087</CharactersWithSpaces>
  <SharedDoc>false</SharedDoc>
  <HLinks>
    <vt:vector size="6" baseType="variant"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https://iowacore.gov/iowa-core/subject/literacy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Schroeder [AEA 267]</dc:creator>
  <cp:lastModifiedBy>Jamie</cp:lastModifiedBy>
  <cp:revision>3</cp:revision>
  <cp:lastPrinted>2015-03-19T18:41:00Z</cp:lastPrinted>
  <dcterms:created xsi:type="dcterms:W3CDTF">2015-04-14T15:05:00Z</dcterms:created>
  <dcterms:modified xsi:type="dcterms:W3CDTF">2015-04-14T15:06:00Z</dcterms:modified>
</cp:coreProperties>
</file>