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AD" w:rsidRPr="003C2C78" w:rsidRDefault="00F87D7A" w:rsidP="0051697A">
      <w:pPr>
        <w:jc w:val="center"/>
        <w:rPr>
          <w:b/>
        </w:rPr>
      </w:pPr>
      <w:r>
        <w:rPr>
          <w:b/>
        </w:rPr>
        <w:t xml:space="preserve">Math </w:t>
      </w:r>
      <w:r w:rsidR="00493BA8" w:rsidRPr="003C2C78">
        <w:rPr>
          <w:b/>
        </w:rPr>
        <w:t>Text Sets Sources</w:t>
      </w:r>
    </w:p>
    <w:tbl>
      <w:tblPr>
        <w:tblStyle w:val="TableGrid"/>
        <w:tblW w:w="10620" w:type="dxa"/>
        <w:tblInd w:w="-702" w:type="dxa"/>
        <w:tblLayout w:type="fixed"/>
        <w:tblLook w:val="04A0" w:firstRow="1" w:lastRow="0" w:firstColumn="1" w:lastColumn="0" w:noHBand="0" w:noVBand="1"/>
      </w:tblPr>
      <w:tblGrid>
        <w:gridCol w:w="2610"/>
        <w:gridCol w:w="5310"/>
        <w:gridCol w:w="450"/>
        <w:gridCol w:w="450"/>
        <w:gridCol w:w="450"/>
        <w:gridCol w:w="450"/>
        <w:gridCol w:w="450"/>
        <w:gridCol w:w="450"/>
      </w:tblGrid>
      <w:tr w:rsidR="003C2C78" w:rsidRPr="0012477F" w:rsidTr="003C2C78">
        <w:trPr>
          <w:cantSplit/>
          <w:trHeight w:val="305"/>
        </w:trPr>
        <w:tc>
          <w:tcPr>
            <w:tcW w:w="2610" w:type="dxa"/>
            <w:vMerge w:val="restart"/>
            <w:shd w:val="clear" w:color="auto" w:fill="DBE5F1" w:themeFill="accent1" w:themeFillTint="33"/>
          </w:tcPr>
          <w:p w:rsidR="003C2C78" w:rsidRPr="0012477F" w:rsidRDefault="00262E8C" w:rsidP="003C2C78">
            <w:pPr>
              <w:jc w:val="center"/>
              <w:rPr>
                <w:b/>
                <w:sz w:val="20"/>
                <w:szCs w:val="20"/>
              </w:rPr>
            </w:pPr>
            <w:r>
              <w:rPr>
                <w:b/>
                <w:sz w:val="20"/>
                <w:szCs w:val="20"/>
              </w:rPr>
              <w:t>What counts as text in Math</w:t>
            </w:r>
            <w:r w:rsidR="003C2C78" w:rsidRPr="0012477F">
              <w:rPr>
                <w:b/>
                <w:sz w:val="20"/>
                <w:szCs w:val="20"/>
              </w:rPr>
              <w:t>?</w:t>
            </w:r>
          </w:p>
          <w:p w:rsidR="003C2C78" w:rsidRPr="0012477F" w:rsidRDefault="003C2C78" w:rsidP="003C2C78">
            <w:pPr>
              <w:jc w:val="center"/>
              <w:rPr>
                <w:b/>
                <w:sz w:val="20"/>
                <w:szCs w:val="20"/>
              </w:rPr>
            </w:pPr>
          </w:p>
          <w:p w:rsidR="003C2C78" w:rsidRPr="0012477F" w:rsidRDefault="003C2C78" w:rsidP="003C2C78">
            <w:pPr>
              <w:jc w:val="center"/>
              <w:rPr>
                <w:b/>
                <w:sz w:val="20"/>
                <w:szCs w:val="20"/>
              </w:rPr>
            </w:pPr>
            <w:r w:rsidRPr="0012477F">
              <w:rPr>
                <w:b/>
                <w:sz w:val="20"/>
                <w:szCs w:val="20"/>
              </w:rPr>
              <w:t>Source(s)</w:t>
            </w:r>
          </w:p>
        </w:tc>
        <w:tc>
          <w:tcPr>
            <w:tcW w:w="5310" w:type="dxa"/>
            <w:vMerge w:val="restart"/>
            <w:shd w:val="clear" w:color="auto" w:fill="DBE5F1" w:themeFill="accent1" w:themeFillTint="33"/>
          </w:tcPr>
          <w:p w:rsidR="003C2C78" w:rsidRPr="0012477F" w:rsidRDefault="003C2C78" w:rsidP="003C2C78">
            <w:pPr>
              <w:jc w:val="center"/>
              <w:rPr>
                <w:b/>
                <w:sz w:val="20"/>
                <w:szCs w:val="20"/>
              </w:rPr>
            </w:pPr>
          </w:p>
          <w:p w:rsidR="003C2C78" w:rsidRPr="0012477F" w:rsidRDefault="003C2C78" w:rsidP="003C2C78">
            <w:pPr>
              <w:jc w:val="center"/>
              <w:rPr>
                <w:b/>
                <w:sz w:val="20"/>
                <w:szCs w:val="20"/>
              </w:rPr>
            </w:pPr>
          </w:p>
          <w:p w:rsidR="003C2C78" w:rsidRPr="0012477F" w:rsidRDefault="003C2C78" w:rsidP="003C2C78">
            <w:pPr>
              <w:jc w:val="center"/>
              <w:rPr>
                <w:b/>
                <w:sz w:val="20"/>
                <w:szCs w:val="20"/>
              </w:rPr>
            </w:pPr>
          </w:p>
          <w:p w:rsidR="003C2C78" w:rsidRPr="0012477F" w:rsidRDefault="003C2C78" w:rsidP="003C2C78">
            <w:pPr>
              <w:jc w:val="center"/>
              <w:rPr>
                <w:b/>
                <w:sz w:val="20"/>
                <w:szCs w:val="20"/>
              </w:rPr>
            </w:pPr>
            <w:r w:rsidRPr="0012477F">
              <w:rPr>
                <w:b/>
                <w:sz w:val="20"/>
                <w:szCs w:val="20"/>
              </w:rPr>
              <w:t>Description of Source</w:t>
            </w:r>
          </w:p>
          <w:p w:rsidR="003C2C78" w:rsidRPr="0012477F" w:rsidRDefault="003C2C78" w:rsidP="003C2C78">
            <w:pPr>
              <w:jc w:val="center"/>
              <w:rPr>
                <w:b/>
                <w:sz w:val="20"/>
                <w:szCs w:val="20"/>
              </w:rPr>
            </w:pPr>
          </w:p>
          <w:p w:rsidR="003C2C78" w:rsidRPr="0012477F" w:rsidRDefault="003C2C78" w:rsidP="003C2C78">
            <w:pPr>
              <w:jc w:val="center"/>
              <w:rPr>
                <w:b/>
                <w:sz w:val="20"/>
                <w:szCs w:val="20"/>
              </w:rPr>
            </w:pPr>
          </w:p>
          <w:p w:rsidR="003C2C78" w:rsidRPr="0012477F" w:rsidRDefault="003C2C78" w:rsidP="003C2C78">
            <w:pPr>
              <w:jc w:val="center"/>
              <w:rPr>
                <w:b/>
                <w:sz w:val="20"/>
                <w:szCs w:val="20"/>
              </w:rPr>
            </w:pPr>
          </w:p>
          <w:p w:rsidR="00D64B74" w:rsidRDefault="00D64B74" w:rsidP="003C2C78">
            <w:pPr>
              <w:jc w:val="center"/>
              <w:rPr>
                <w:b/>
                <w:sz w:val="20"/>
                <w:szCs w:val="20"/>
              </w:rPr>
            </w:pPr>
          </w:p>
          <w:p w:rsidR="00D64B74" w:rsidRPr="0012477F" w:rsidRDefault="00D64B74" w:rsidP="003C2C78">
            <w:pPr>
              <w:jc w:val="center"/>
              <w:rPr>
                <w:b/>
                <w:sz w:val="20"/>
                <w:szCs w:val="20"/>
              </w:rPr>
            </w:pPr>
          </w:p>
        </w:tc>
        <w:tc>
          <w:tcPr>
            <w:tcW w:w="2700" w:type="dxa"/>
            <w:gridSpan w:val="6"/>
            <w:shd w:val="clear" w:color="auto" w:fill="DBE5F1" w:themeFill="accent1" w:themeFillTint="33"/>
          </w:tcPr>
          <w:p w:rsidR="003C2C78" w:rsidRPr="0012477F" w:rsidRDefault="003C2C78" w:rsidP="003C2C78">
            <w:pPr>
              <w:jc w:val="center"/>
              <w:rPr>
                <w:b/>
                <w:sz w:val="20"/>
                <w:szCs w:val="20"/>
              </w:rPr>
            </w:pPr>
            <w:r w:rsidRPr="0012477F">
              <w:rPr>
                <w:b/>
                <w:sz w:val="20"/>
                <w:szCs w:val="20"/>
              </w:rPr>
              <w:t>Area(s)</w:t>
            </w:r>
          </w:p>
        </w:tc>
      </w:tr>
      <w:tr w:rsidR="003C2C78" w:rsidRPr="0012477F" w:rsidTr="00351292">
        <w:trPr>
          <w:cantSplit/>
          <w:trHeight w:val="2609"/>
        </w:trPr>
        <w:tc>
          <w:tcPr>
            <w:tcW w:w="2610" w:type="dxa"/>
            <w:vMerge/>
          </w:tcPr>
          <w:p w:rsidR="003C2C78" w:rsidRPr="0012477F" w:rsidRDefault="003C2C78">
            <w:pPr>
              <w:rPr>
                <w:sz w:val="20"/>
                <w:szCs w:val="20"/>
              </w:rPr>
            </w:pPr>
          </w:p>
        </w:tc>
        <w:tc>
          <w:tcPr>
            <w:tcW w:w="5310" w:type="dxa"/>
            <w:vMerge/>
          </w:tcPr>
          <w:p w:rsidR="003C2C78" w:rsidRPr="0012477F" w:rsidRDefault="003C2C78">
            <w:pPr>
              <w:rPr>
                <w:sz w:val="20"/>
                <w:szCs w:val="20"/>
              </w:rPr>
            </w:pPr>
          </w:p>
        </w:tc>
        <w:tc>
          <w:tcPr>
            <w:tcW w:w="450" w:type="dxa"/>
            <w:textDirection w:val="btLr"/>
          </w:tcPr>
          <w:p w:rsidR="003C2C78" w:rsidRPr="0012477F" w:rsidRDefault="00132886" w:rsidP="00351292">
            <w:pPr>
              <w:ind w:left="113" w:right="113"/>
              <w:jc w:val="right"/>
              <w:rPr>
                <w:b/>
                <w:sz w:val="20"/>
                <w:szCs w:val="20"/>
              </w:rPr>
            </w:pPr>
            <w:r w:rsidRPr="0012477F">
              <w:rPr>
                <w:b/>
                <w:sz w:val="20"/>
                <w:szCs w:val="20"/>
              </w:rPr>
              <w:t>Number and</w:t>
            </w:r>
            <w:r w:rsidR="00E6243B">
              <w:rPr>
                <w:b/>
                <w:sz w:val="20"/>
                <w:szCs w:val="20"/>
              </w:rPr>
              <w:t xml:space="preserve"> </w:t>
            </w:r>
            <w:r w:rsidRPr="0012477F">
              <w:rPr>
                <w:b/>
                <w:sz w:val="20"/>
                <w:szCs w:val="20"/>
              </w:rPr>
              <w:t>operations</w:t>
            </w:r>
          </w:p>
        </w:tc>
        <w:tc>
          <w:tcPr>
            <w:tcW w:w="450" w:type="dxa"/>
            <w:textDirection w:val="btLr"/>
          </w:tcPr>
          <w:p w:rsidR="003C2C78" w:rsidRPr="0012477F" w:rsidRDefault="00132886" w:rsidP="00351292">
            <w:pPr>
              <w:ind w:left="113" w:right="113"/>
              <w:jc w:val="right"/>
              <w:rPr>
                <w:b/>
                <w:sz w:val="20"/>
                <w:szCs w:val="20"/>
              </w:rPr>
            </w:pPr>
            <w:r w:rsidRPr="0012477F">
              <w:rPr>
                <w:b/>
                <w:sz w:val="20"/>
                <w:szCs w:val="20"/>
              </w:rPr>
              <w:t>Algebra</w:t>
            </w:r>
          </w:p>
        </w:tc>
        <w:tc>
          <w:tcPr>
            <w:tcW w:w="450" w:type="dxa"/>
            <w:textDirection w:val="btLr"/>
          </w:tcPr>
          <w:p w:rsidR="003C2C78" w:rsidRPr="0012477F" w:rsidRDefault="00132886" w:rsidP="00351292">
            <w:pPr>
              <w:ind w:left="113" w:right="113"/>
              <w:jc w:val="right"/>
              <w:rPr>
                <w:b/>
                <w:sz w:val="20"/>
                <w:szCs w:val="20"/>
              </w:rPr>
            </w:pPr>
            <w:r w:rsidRPr="0012477F">
              <w:rPr>
                <w:b/>
                <w:sz w:val="20"/>
                <w:szCs w:val="20"/>
              </w:rPr>
              <w:t>Geometry</w:t>
            </w:r>
          </w:p>
        </w:tc>
        <w:tc>
          <w:tcPr>
            <w:tcW w:w="450" w:type="dxa"/>
            <w:textDirection w:val="btLr"/>
          </w:tcPr>
          <w:p w:rsidR="003C2C78" w:rsidRPr="0012477F" w:rsidRDefault="00132886" w:rsidP="00351292">
            <w:pPr>
              <w:ind w:left="113" w:right="113"/>
              <w:jc w:val="right"/>
              <w:rPr>
                <w:b/>
                <w:sz w:val="20"/>
                <w:szCs w:val="20"/>
              </w:rPr>
            </w:pPr>
            <w:r w:rsidRPr="0012477F">
              <w:rPr>
                <w:b/>
                <w:sz w:val="20"/>
                <w:szCs w:val="20"/>
              </w:rPr>
              <w:t>Measurement</w:t>
            </w:r>
          </w:p>
        </w:tc>
        <w:tc>
          <w:tcPr>
            <w:tcW w:w="450" w:type="dxa"/>
            <w:textDirection w:val="btLr"/>
          </w:tcPr>
          <w:p w:rsidR="003C2C78" w:rsidRPr="0012477F" w:rsidRDefault="00132886" w:rsidP="00351292">
            <w:pPr>
              <w:ind w:left="113" w:right="113"/>
              <w:jc w:val="right"/>
              <w:rPr>
                <w:b/>
                <w:sz w:val="20"/>
                <w:szCs w:val="20"/>
              </w:rPr>
            </w:pPr>
            <w:r w:rsidRPr="0012477F">
              <w:rPr>
                <w:b/>
                <w:sz w:val="20"/>
                <w:szCs w:val="20"/>
              </w:rPr>
              <w:t>Dara and Statistics</w:t>
            </w:r>
          </w:p>
        </w:tc>
        <w:tc>
          <w:tcPr>
            <w:tcW w:w="450" w:type="dxa"/>
            <w:textDirection w:val="btLr"/>
          </w:tcPr>
          <w:p w:rsidR="003C2C78" w:rsidRPr="0012477F" w:rsidRDefault="00262E8C" w:rsidP="00351292">
            <w:pPr>
              <w:ind w:left="113" w:right="113"/>
              <w:jc w:val="right"/>
              <w:rPr>
                <w:b/>
                <w:sz w:val="20"/>
                <w:szCs w:val="20"/>
              </w:rPr>
            </w:pPr>
            <w:r>
              <w:rPr>
                <w:b/>
                <w:sz w:val="20"/>
                <w:szCs w:val="20"/>
              </w:rPr>
              <w:t>Careers</w:t>
            </w:r>
          </w:p>
        </w:tc>
      </w:tr>
      <w:tr w:rsidR="00C24569" w:rsidRPr="0012477F" w:rsidTr="00E6243B">
        <w:tc>
          <w:tcPr>
            <w:tcW w:w="2610" w:type="dxa"/>
          </w:tcPr>
          <w:p w:rsidR="00C24569" w:rsidRDefault="00EF28AF" w:rsidP="00A808B7">
            <w:hyperlink r:id="rId5" w:history="1">
              <w:r w:rsidR="00C24569" w:rsidRPr="00C24569">
                <w:rPr>
                  <w:rStyle w:val="Hyperlink"/>
                </w:rPr>
                <w:t>Annenberg Learner Interactives</w:t>
              </w:r>
            </w:hyperlink>
          </w:p>
        </w:tc>
        <w:tc>
          <w:tcPr>
            <w:tcW w:w="5310" w:type="dxa"/>
          </w:tcPr>
          <w:p w:rsidR="00C24569" w:rsidRDefault="00A67E58" w:rsidP="00A808B7">
            <w:pPr>
              <w:rPr>
                <w:sz w:val="20"/>
                <w:szCs w:val="20"/>
              </w:rPr>
            </w:pPr>
            <w:r>
              <w:rPr>
                <w:sz w:val="20"/>
                <w:szCs w:val="20"/>
              </w:rPr>
              <w:t xml:space="preserve">K-12 interactives </w:t>
            </w:r>
            <w:r w:rsidRPr="00A67E58">
              <w:rPr>
                <w:sz w:val="20"/>
                <w:szCs w:val="20"/>
              </w:rPr>
              <w:t>are extensions of a concept or theme explored in Annenberg videos.</w:t>
            </w:r>
          </w:p>
        </w:tc>
        <w:tc>
          <w:tcPr>
            <w:tcW w:w="450" w:type="dxa"/>
          </w:tcPr>
          <w:p w:rsidR="00C24569" w:rsidRDefault="00C24569" w:rsidP="00A808B7">
            <w:pPr>
              <w:rPr>
                <w:sz w:val="20"/>
                <w:szCs w:val="20"/>
              </w:rPr>
            </w:pPr>
            <w:r>
              <w:rPr>
                <w:sz w:val="20"/>
                <w:szCs w:val="20"/>
              </w:rPr>
              <w:t>x</w:t>
            </w:r>
          </w:p>
        </w:tc>
        <w:tc>
          <w:tcPr>
            <w:tcW w:w="450" w:type="dxa"/>
          </w:tcPr>
          <w:p w:rsidR="00C24569" w:rsidRDefault="00C24569" w:rsidP="00A808B7">
            <w:pPr>
              <w:rPr>
                <w:sz w:val="20"/>
                <w:szCs w:val="20"/>
              </w:rPr>
            </w:pPr>
          </w:p>
        </w:tc>
        <w:tc>
          <w:tcPr>
            <w:tcW w:w="450" w:type="dxa"/>
          </w:tcPr>
          <w:p w:rsidR="00C24569" w:rsidRDefault="00C24569" w:rsidP="00A808B7">
            <w:pPr>
              <w:rPr>
                <w:sz w:val="20"/>
                <w:szCs w:val="20"/>
              </w:rPr>
            </w:pPr>
            <w:r>
              <w:rPr>
                <w:sz w:val="20"/>
                <w:szCs w:val="20"/>
              </w:rPr>
              <w:t>x</w:t>
            </w:r>
          </w:p>
        </w:tc>
        <w:tc>
          <w:tcPr>
            <w:tcW w:w="450" w:type="dxa"/>
          </w:tcPr>
          <w:p w:rsidR="00C24569" w:rsidRDefault="00C24569" w:rsidP="00A808B7">
            <w:pPr>
              <w:rPr>
                <w:sz w:val="20"/>
                <w:szCs w:val="20"/>
              </w:rPr>
            </w:pPr>
          </w:p>
        </w:tc>
        <w:tc>
          <w:tcPr>
            <w:tcW w:w="450" w:type="dxa"/>
          </w:tcPr>
          <w:p w:rsidR="00C24569" w:rsidRDefault="00C24569" w:rsidP="00A808B7">
            <w:pPr>
              <w:rPr>
                <w:sz w:val="20"/>
                <w:szCs w:val="20"/>
              </w:rPr>
            </w:pPr>
            <w:r>
              <w:rPr>
                <w:sz w:val="20"/>
                <w:szCs w:val="20"/>
              </w:rPr>
              <w:t>x</w:t>
            </w:r>
          </w:p>
        </w:tc>
        <w:tc>
          <w:tcPr>
            <w:tcW w:w="450" w:type="dxa"/>
          </w:tcPr>
          <w:p w:rsidR="00C24569" w:rsidRPr="0012477F" w:rsidRDefault="00C24569">
            <w:pPr>
              <w:rPr>
                <w:sz w:val="20"/>
                <w:szCs w:val="20"/>
              </w:rPr>
            </w:pPr>
          </w:p>
        </w:tc>
      </w:tr>
      <w:tr w:rsidR="00351292" w:rsidRPr="0012477F" w:rsidTr="00E6243B">
        <w:tc>
          <w:tcPr>
            <w:tcW w:w="2610" w:type="dxa"/>
          </w:tcPr>
          <w:p w:rsidR="00351292" w:rsidRPr="0012477F" w:rsidRDefault="00EF28AF" w:rsidP="00A808B7">
            <w:pPr>
              <w:rPr>
                <w:sz w:val="20"/>
                <w:szCs w:val="20"/>
              </w:rPr>
            </w:pPr>
            <w:hyperlink r:id="rId6" w:history="1">
              <w:r w:rsidR="00351292" w:rsidRPr="00C16838">
                <w:rPr>
                  <w:rStyle w:val="Hyperlink"/>
                  <w:sz w:val="20"/>
                  <w:szCs w:val="20"/>
                </w:rPr>
                <w:t>Concord Consortium</w:t>
              </w:r>
            </w:hyperlink>
            <w:r w:rsidR="00351292">
              <w:rPr>
                <w:sz w:val="20"/>
                <w:szCs w:val="20"/>
              </w:rPr>
              <w:t xml:space="preserve"> (math)</w:t>
            </w:r>
          </w:p>
        </w:tc>
        <w:tc>
          <w:tcPr>
            <w:tcW w:w="5310" w:type="dxa"/>
          </w:tcPr>
          <w:p w:rsidR="00351292" w:rsidRPr="0012477F" w:rsidRDefault="00351292" w:rsidP="00A808B7">
            <w:pPr>
              <w:rPr>
                <w:sz w:val="20"/>
                <w:szCs w:val="20"/>
              </w:rPr>
            </w:pPr>
            <w:r>
              <w:rPr>
                <w:sz w:val="20"/>
                <w:szCs w:val="20"/>
              </w:rPr>
              <w:t xml:space="preserve">Math videos help students see important concepts in a new light. </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pPr>
              <w:rPr>
                <w:sz w:val="20"/>
                <w:szCs w:val="20"/>
              </w:rPr>
            </w:pPr>
          </w:p>
        </w:tc>
      </w:tr>
      <w:tr w:rsidR="00674317" w:rsidRPr="0012477F" w:rsidTr="00E6243B">
        <w:tc>
          <w:tcPr>
            <w:tcW w:w="2610" w:type="dxa"/>
          </w:tcPr>
          <w:p w:rsidR="00674317" w:rsidRDefault="00EF28AF" w:rsidP="00A808B7">
            <w:hyperlink r:id="rId7" w:history="1">
              <w:r w:rsidR="00674317" w:rsidRPr="00674317">
                <w:rPr>
                  <w:rStyle w:val="Hyperlink"/>
                </w:rPr>
                <w:t>Computing Technology for Math Excellence</w:t>
              </w:r>
            </w:hyperlink>
          </w:p>
        </w:tc>
        <w:tc>
          <w:tcPr>
            <w:tcW w:w="5310" w:type="dxa"/>
          </w:tcPr>
          <w:p w:rsidR="00674317" w:rsidRDefault="00674317" w:rsidP="00A808B7">
            <w:pPr>
              <w:rPr>
                <w:sz w:val="20"/>
                <w:szCs w:val="20"/>
              </w:rPr>
            </w:pPr>
            <w:r>
              <w:rPr>
                <w:sz w:val="20"/>
                <w:szCs w:val="20"/>
              </w:rPr>
              <w:t>Web page describing value and sources for virtual manipulatives.</w:t>
            </w:r>
          </w:p>
        </w:tc>
        <w:tc>
          <w:tcPr>
            <w:tcW w:w="450" w:type="dxa"/>
          </w:tcPr>
          <w:p w:rsidR="00674317" w:rsidRDefault="00674317" w:rsidP="00A808B7">
            <w:pPr>
              <w:rPr>
                <w:sz w:val="20"/>
                <w:szCs w:val="20"/>
              </w:rPr>
            </w:pPr>
            <w:r>
              <w:rPr>
                <w:sz w:val="20"/>
                <w:szCs w:val="20"/>
              </w:rPr>
              <w:t>x</w:t>
            </w:r>
          </w:p>
        </w:tc>
        <w:tc>
          <w:tcPr>
            <w:tcW w:w="450" w:type="dxa"/>
          </w:tcPr>
          <w:p w:rsidR="00674317" w:rsidRDefault="00674317" w:rsidP="00A808B7">
            <w:pPr>
              <w:rPr>
                <w:sz w:val="20"/>
                <w:szCs w:val="20"/>
              </w:rPr>
            </w:pPr>
            <w:r>
              <w:rPr>
                <w:sz w:val="20"/>
                <w:szCs w:val="20"/>
              </w:rPr>
              <w:t>x</w:t>
            </w:r>
          </w:p>
        </w:tc>
        <w:tc>
          <w:tcPr>
            <w:tcW w:w="450" w:type="dxa"/>
          </w:tcPr>
          <w:p w:rsidR="00674317" w:rsidRDefault="00674317" w:rsidP="00A808B7">
            <w:pPr>
              <w:rPr>
                <w:sz w:val="20"/>
                <w:szCs w:val="20"/>
              </w:rPr>
            </w:pPr>
            <w:r>
              <w:rPr>
                <w:sz w:val="20"/>
                <w:szCs w:val="20"/>
              </w:rPr>
              <w:t>x</w:t>
            </w:r>
          </w:p>
        </w:tc>
        <w:tc>
          <w:tcPr>
            <w:tcW w:w="450" w:type="dxa"/>
          </w:tcPr>
          <w:p w:rsidR="00674317" w:rsidRDefault="00674317" w:rsidP="00A808B7">
            <w:pPr>
              <w:rPr>
                <w:sz w:val="20"/>
                <w:szCs w:val="20"/>
              </w:rPr>
            </w:pPr>
            <w:r>
              <w:rPr>
                <w:sz w:val="20"/>
                <w:szCs w:val="20"/>
              </w:rPr>
              <w:t>x</w:t>
            </w:r>
          </w:p>
        </w:tc>
        <w:tc>
          <w:tcPr>
            <w:tcW w:w="450" w:type="dxa"/>
          </w:tcPr>
          <w:p w:rsidR="00674317" w:rsidRDefault="00674317" w:rsidP="00A808B7">
            <w:pPr>
              <w:rPr>
                <w:sz w:val="20"/>
                <w:szCs w:val="20"/>
              </w:rPr>
            </w:pPr>
          </w:p>
        </w:tc>
        <w:tc>
          <w:tcPr>
            <w:tcW w:w="450" w:type="dxa"/>
          </w:tcPr>
          <w:p w:rsidR="00674317" w:rsidRPr="0012477F" w:rsidRDefault="00674317">
            <w:pPr>
              <w:rPr>
                <w:sz w:val="20"/>
                <w:szCs w:val="20"/>
              </w:rPr>
            </w:pPr>
          </w:p>
        </w:tc>
      </w:tr>
      <w:tr w:rsidR="00351292" w:rsidRPr="0012477F" w:rsidTr="00E6243B">
        <w:tc>
          <w:tcPr>
            <w:tcW w:w="2610" w:type="dxa"/>
          </w:tcPr>
          <w:p w:rsidR="00351292" w:rsidRPr="0012477F" w:rsidRDefault="00EF28AF" w:rsidP="00A808B7">
            <w:pPr>
              <w:rPr>
                <w:sz w:val="20"/>
                <w:szCs w:val="20"/>
              </w:rPr>
            </w:pPr>
            <w:hyperlink r:id="rId8" w:anchor="loaded" w:history="1">
              <w:r w:rsidR="00351292" w:rsidRPr="00262E8C">
                <w:rPr>
                  <w:rStyle w:val="Hyperlink"/>
                  <w:sz w:val="20"/>
                  <w:szCs w:val="20"/>
                </w:rPr>
                <w:t>Futures Channel</w:t>
              </w:r>
            </w:hyperlink>
          </w:p>
        </w:tc>
        <w:tc>
          <w:tcPr>
            <w:tcW w:w="5310" w:type="dxa"/>
          </w:tcPr>
          <w:p w:rsidR="00351292" w:rsidRPr="0012477F" w:rsidRDefault="00351292" w:rsidP="00A808B7">
            <w:pPr>
              <w:rPr>
                <w:sz w:val="20"/>
                <w:szCs w:val="20"/>
              </w:rPr>
            </w:pPr>
            <w:r>
              <w:rPr>
                <w:sz w:val="20"/>
                <w:szCs w:val="20"/>
              </w:rPr>
              <w:t>Videos highlighting value of STEM.</w:t>
            </w: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r>
              <w:rPr>
                <w:sz w:val="20"/>
                <w:szCs w:val="20"/>
              </w:rPr>
              <w:t>x</w:t>
            </w:r>
          </w:p>
        </w:tc>
      </w:tr>
      <w:tr w:rsidR="00351292" w:rsidRPr="0012477F" w:rsidTr="00E6243B">
        <w:tc>
          <w:tcPr>
            <w:tcW w:w="2610" w:type="dxa"/>
          </w:tcPr>
          <w:p w:rsidR="00351292" w:rsidRPr="0012477F" w:rsidRDefault="00EF28AF" w:rsidP="00A808B7">
            <w:pPr>
              <w:rPr>
                <w:sz w:val="20"/>
                <w:szCs w:val="20"/>
              </w:rPr>
            </w:pPr>
            <w:hyperlink r:id="rId9" w:history="1">
              <w:r w:rsidR="00351292" w:rsidRPr="0012477F">
                <w:rPr>
                  <w:rStyle w:val="Hyperlink"/>
                  <w:sz w:val="20"/>
                  <w:szCs w:val="20"/>
                </w:rPr>
                <w:t>Get the Math</w:t>
              </w:r>
            </w:hyperlink>
          </w:p>
        </w:tc>
        <w:tc>
          <w:tcPr>
            <w:tcW w:w="5310" w:type="dxa"/>
          </w:tcPr>
          <w:p w:rsidR="00351292" w:rsidRPr="0012477F" w:rsidRDefault="00351292" w:rsidP="00A808B7">
            <w:pPr>
              <w:rPr>
                <w:sz w:val="20"/>
                <w:szCs w:val="20"/>
              </w:rPr>
            </w:pPr>
            <w:r w:rsidRPr="0012477F">
              <w:rPr>
                <w:rStyle w:val="Emphasis"/>
                <w:rFonts w:cs="Arial"/>
                <w:color w:val="333333"/>
                <w:sz w:val="20"/>
                <w:szCs w:val="20"/>
              </w:rPr>
              <w:t>Get the Math</w:t>
            </w:r>
            <w:r w:rsidRPr="0012477F">
              <w:rPr>
                <w:rFonts w:cs="Arial"/>
                <w:color w:val="333333"/>
                <w:sz w:val="20"/>
                <w:szCs w:val="20"/>
              </w:rPr>
              <w:t xml:space="preserve"> is about algebra in the real world. See how professionals use math in music, fashion, videogames, restaurants, basketball, and special effects. Then take on interactive challenges related to those careers.</w:t>
            </w: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p>
        </w:tc>
        <w:tc>
          <w:tcPr>
            <w:tcW w:w="450" w:type="dxa"/>
          </w:tcPr>
          <w:p w:rsidR="00351292" w:rsidRPr="0012477F" w:rsidRDefault="00D56B98" w:rsidP="00A808B7">
            <w:pPr>
              <w:rPr>
                <w:sz w:val="20"/>
                <w:szCs w:val="20"/>
              </w:rPr>
            </w:pPr>
            <w:r>
              <w:rPr>
                <w:sz w:val="20"/>
                <w:szCs w:val="20"/>
              </w:rPr>
              <w:t>x</w:t>
            </w:r>
          </w:p>
        </w:tc>
      </w:tr>
      <w:tr w:rsidR="00351292" w:rsidRPr="0012477F" w:rsidTr="00E6243B">
        <w:tc>
          <w:tcPr>
            <w:tcW w:w="2610" w:type="dxa"/>
          </w:tcPr>
          <w:p w:rsidR="00351292" w:rsidRPr="0012477F" w:rsidRDefault="00EF28AF" w:rsidP="00A808B7">
            <w:pPr>
              <w:rPr>
                <w:sz w:val="20"/>
                <w:szCs w:val="20"/>
              </w:rPr>
            </w:pPr>
            <w:hyperlink r:id="rId10" w:history="1">
              <w:r w:rsidR="00351292" w:rsidRPr="00E6243B">
                <w:rPr>
                  <w:rStyle w:val="Hyperlink"/>
                  <w:sz w:val="20"/>
                  <w:szCs w:val="20"/>
                </w:rPr>
                <w:t>Khan Academy</w:t>
              </w:r>
            </w:hyperlink>
          </w:p>
        </w:tc>
        <w:tc>
          <w:tcPr>
            <w:tcW w:w="5310" w:type="dxa"/>
          </w:tcPr>
          <w:p w:rsidR="00351292" w:rsidRPr="0012477F" w:rsidRDefault="00EF28AF" w:rsidP="00A808B7">
            <w:pPr>
              <w:rPr>
                <w:sz w:val="20"/>
                <w:szCs w:val="20"/>
              </w:rPr>
            </w:pPr>
            <w:hyperlink r:id="rId11" w:history="1">
              <w:r w:rsidR="00351292" w:rsidRPr="00E6243B">
                <w:rPr>
                  <w:rStyle w:val="Hyperlink"/>
                  <w:sz w:val="20"/>
                  <w:szCs w:val="20"/>
                </w:rPr>
                <w:t>Math videos aligned</w:t>
              </w:r>
            </w:hyperlink>
            <w:r w:rsidR="00351292">
              <w:rPr>
                <w:sz w:val="20"/>
                <w:szCs w:val="20"/>
              </w:rPr>
              <w:t xml:space="preserve"> to CCSSM. </w:t>
            </w:r>
            <w:hyperlink r:id="rId12" w:history="1">
              <w:r w:rsidR="00351292" w:rsidRPr="000972A0">
                <w:rPr>
                  <w:rStyle w:val="Hyperlink"/>
                  <w:sz w:val="20"/>
                  <w:szCs w:val="20"/>
                </w:rPr>
                <w:t>User guides.</w:t>
              </w:r>
            </w:hyperlink>
            <w:r w:rsidR="00351292">
              <w:rPr>
                <w:sz w:val="20"/>
                <w:szCs w:val="20"/>
              </w:rPr>
              <w:t xml:space="preserve"> Khan Academy and the CCSS (</w:t>
            </w:r>
            <w:hyperlink r:id="rId13" w:history="1">
              <w:r w:rsidR="00351292" w:rsidRPr="000972A0">
                <w:rPr>
                  <w:rStyle w:val="Hyperlink"/>
                  <w:sz w:val="20"/>
                  <w:szCs w:val="20"/>
                </w:rPr>
                <w:t>sign up</w:t>
              </w:r>
            </w:hyperlink>
            <w:r w:rsidR="00351292">
              <w:rPr>
                <w:sz w:val="20"/>
                <w:szCs w:val="20"/>
              </w:rPr>
              <w:t>)</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p>
        </w:tc>
      </w:tr>
      <w:tr w:rsidR="00694E70" w:rsidRPr="0012477F" w:rsidTr="00E6243B">
        <w:tc>
          <w:tcPr>
            <w:tcW w:w="2610" w:type="dxa"/>
          </w:tcPr>
          <w:p w:rsidR="00694E70" w:rsidRDefault="00EF28AF" w:rsidP="00A808B7">
            <w:hyperlink r:id="rId14" w:history="1">
              <w:r w:rsidR="00694E70" w:rsidRPr="00694E70">
                <w:rPr>
                  <w:rStyle w:val="Hyperlink"/>
                </w:rPr>
                <w:t>Math Career Resources</w:t>
              </w:r>
            </w:hyperlink>
          </w:p>
        </w:tc>
        <w:tc>
          <w:tcPr>
            <w:tcW w:w="5310" w:type="dxa"/>
          </w:tcPr>
          <w:p w:rsidR="00694E70" w:rsidRDefault="00694E70" w:rsidP="00A808B7">
            <w:r>
              <w:t xml:space="preserve">U. of California at Irvine website profiling careers that utilize math knowledge/skills. </w:t>
            </w:r>
          </w:p>
        </w:tc>
        <w:tc>
          <w:tcPr>
            <w:tcW w:w="450" w:type="dxa"/>
          </w:tcPr>
          <w:p w:rsidR="00694E70" w:rsidRDefault="00694E70" w:rsidP="00A808B7">
            <w:pPr>
              <w:rPr>
                <w:sz w:val="20"/>
                <w:szCs w:val="20"/>
              </w:rPr>
            </w:pPr>
          </w:p>
        </w:tc>
        <w:tc>
          <w:tcPr>
            <w:tcW w:w="450" w:type="dxa"/>
          </w:tcPr>
          <w:p w:rsidR="00694E70" w:rsidRDefault="00694E70" w:rsidP="00A808B7">
            <w:pPr>
              <w:rPr>
                <w:sz w:val="20"/>
                <w:szCs w:val="20"/>
              </w:rPr>
            </w:pPr>
          </w:p>
        </w:tc>
        <w:tc>
          <w:tcPr>
            <w:tcW w:w="450" w:type="dxa"/>
          </w:tcPr>
          <w:p w:rsidR="00694E70" w:rsidRDefault="00694E70" w:rsidP="00A808B7">
            <w:pPr>
              <w:rPr>
                <w:sz w:val="20"/>
                <w:szCs w:val="20"/>
              </w:rPr>
            </w:pPr>
          </w:p>
        </w:tc>
        <w:tc>
          <w:tcPr>
            <w:tcW w:w="450" w:type="dxa"/>
          </w:tcPr>
          <w:p w:rsidR="00694E70" w:rsidRPr="0012477F" w:rsidRDefault="00694E70" w:rsidP="00A808B7">
            <w:pPr>
              <w:rPr>
                <w:sz w:val="20"/>
                <w:szCs w:val="20"/>
              </w:rPr>
            </w:pPr>
          </w:p>
        </w:tc>
        <w:tc>
          <w:tcPr>
            <w:tcW w:w="450" w:type="dxa"/>
          </w:tcPr>
          <w:p w:rsidR="00694E70" w:rsidRDefault="00694E70" w:rsidP="00A808B7">
            <w:pPr>
              <w:rPr>
                <w:sz w:val="20"/>
                <w:szCs w:val="20"/>
              </w:rPr>
            </w:pPr>
          </w:p>
        </w:tc>
        <w:tc>
          <w:tcPr>
            <w:tcW w:w="450" w:type="dxa"/>
          </w:tcPr>
          <w:p w:rsidR="00694E70" w:rsidRPr="0012477F" w:rsidRDefault="00694E70" w:rsidP="00A808B7">
            <w:pPr>
              <w:rPr>
                <w:sz w:val="20"/>
                <w:szCs w:val="20"/>
              </w:rPr>
            </w:pPr>
            <w:r>
              <w:rPr>
                <w:sz w:val="20"/>
                <w:szCs w:val="20"/>
              </w:rPr>
              <w:t>x</w:t>
            </w:r>
          </w:p>
        </w:tc>
      </w:tr>
      <w:tr w:rsidR="00351292" w:rsidRPr="0012477F" w:rsidTr="00E6243B">
        <w:tc>
          <w:tcPr>
            <w:tcW w:w="2610" w:type="dxa"/>
          </w:tcPr>
          <w:p w:rsidR="00351292" w:rsidRPr="0012477F" w:rsidRDefault="00EF28AF" w:rsidP="00A808B7">
            <w:pPr>
              <w:rPr>
                <w:sz w:val="20"/>
                <w:szCs w:val="20"/>
              </w:rPr>
            </w:pPr>
            <w:hyperlink r:id="rId15" w:history="1">
              <w:r w:rsidR="00351292" w:rsidRPr="00262E8C">
                <w:rPr>
                  <w:rStyle w:val="Hyperlink"/>
                  <w:sz w:val="20"/>
                  <w:szCs w:val="20"/>
                </w:rPr>
                <w:t>National Science Digital Library</w:t>
              </w:r>
            </w:hyperlink>
          </w:p>
        </w:tc>
        <w:tc>
          <w:tcPr>
            <w:tcW w:w="5310" w:type="dxa"/>
          </w:tcPr>
          <w:p w:rsidR="00351292" w:rsidRPr="0012477F" w:rsidRDefault="00351292" w:rsidP="00A808B7">
            <w:pPr>
              <w:rPr>
                <w:sz w:val="20"/>
                <w:szCs w:val="20"/>
              </w:rPr>
            </w:pPr>
            <w:r>
              <w:rPr>
                <w:sz w:val="20"/>
                <w:szCs w:val="20"/>
              </w:rPr>
              <w:t>Web resources for teaching the CCSS K-12 math standards by standard.</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r>
              <w:rPr>
                <w:sz w:val="20"/>
                <w:szCs w:val="20"/>
              </w:rPr>
              <w:t>x</w:t>
            </w:r>
          </w:p>
        </w:tc>
        <w:tc>
          <w:tcPr>
            <w:tcW w:w="450" w:type="dxa"/>
          </w:tcPr>
          <w:p w:rsidR="00351292" w:rsidRPr="0012477F" w:rsidRDefault="00351292" w:rsidP="00A808B7">
            <w:pPr>
              <w:rPr>
                <w:sz w:val="20"/>
                <w:szCs w:val="20"/>
              </w:rPr>
            </w:pPr>
          </w:p>
        </w:tc>
      </w:tr>
      <w:tr w:rsidR="008A02CE" w:rsidRPr="0012477F" w:rsidTr="00E6243B">
        <w:tc>
          <w:tcPr>
            <w:tcW w:w="2610" w:type="dxa"/>
          </w:tcPr>
          <w:p w:rsidR="008A02CE" w:rsidRDefault="00EF28AF" w:rsidP="00A808B7">
            <w:hyperlink r:id="rId16" w:history="1">
              <w:proofErr w:type="spellStart"/>
              <w:r w:rsidR="008A02CE" w:rsidRPr="00EF28AF">
                <w:rPr>
                  <w:rStyle w:val="Hyperlink"/>
                </w:rPr>
                <w:t>Numberphile</w:t>
              </w:r>
              <w:proofErr w:type="spellEnd"/>
            </w:hyperlink>
          </w:p>
        </w:tc>
        <w:tc>
          <w:tcPr>
            <w:tcW w:w="5310" w:type="dxa"/>
          </w:tcPr>
          <w:p w:rsidR="008A02CE" w:rsidRDefault="008A02CE" w:rsidP="00A808B7">
            <w:pPr>
              <w:rPr>
                <w:sz w:val="20"/>
                <w:szCs w:val="20"/>
              </w:rPr>
            </w:pPr>
            <w:r w:rsidRPr="00EF28AF">
              <w:rPr>
                <w:sz w:val="20"/>
                <w:szCs w:val="20"/>
              </w:rPr>
              <w:t>Web</w:t>
            </w:r>
            <w:r w:rsidRPr="00EF28AF">
              <w:rPr>
                <w:sz w:val="20"/>
                <w:szCs w:val="20"/>
              </w:rPr>
              <w:t>s</w:t>
            </w:r>
            <w:r w:rsidRPr="00EF28AF">
              <w:rPr>
                <w:sz w:val="20"/>
                <w:szCs w:val="20"/>
              </w:rPr>
              <w:t>ite</w:t>
            </w:r>
            <w:r w:rsidR="00EF28AF">
              <w:rPr>
                <w:sz w:val="20"/>
                <w:szCs w:val="20"/>
              </w:rPr>
              <w:t xml:space="preserve"> </w:t>
            </w:r>
            <w:r>
              <w:rPr>
                <w:sz w:val="20"/>
                <w:szCs w:val="20"/>
              </w:rPr>
              <w:t xml:space="preserve">sponsored by the Mathematical Sciences Research Institute. Unusual videos about number and geometry. </w:t>
            </w:r>
          </w:p>
        </w:tc>
        <w:tc>
          <w:tcPr>
            <w:tcW w:w="450" w:type="dxa"/>
          </w:tcPr>
          <w:p w:rsidR="008A02CE" w:rsidRDefault="008A02CE" w:rsidP="00A808B7">
            <w:pPr>
              <w:rPr>
                <w:sz w:val="20"/>
                <w:szCs w:val="20"/>
              </w:rPr>
            </w:pPr>
            <w:r>
              <w:rPr>
                <w:sz w:val="20"/>
                <w:szCs w:val="20"/>
              </w:rPr>
              <w:t>x</w:t>
            </w:r>
          </w:p>
        </w:tc>
        <w:tc>
          <w:tcPr>
            <w:tcW w:w="450" w:type="dxa"/>
          </w:tcPr>
          <w:p w:rsidR="008A02CE" w:rsidRDefault="008A02CE" w:rsidP="00A808B7">
            <w:pPr>
              <w:rPr>
                <w:sz w:val="20"/>
                <w:szCs w:val="20"/>
              </w:rPr>
            </w:pPr>
          </w:p>
        </w:tc>
        <w:tc>
          <w:tcPr>
            <w:tcW w:w="450" w:type="dxa"/>
          </w:tcPr>
          <w:p w:rsidR="008A02CE" w:rsidRDefault="008A02CE" w:rsidP="00A808B7">
            <w:pPr>
              <w:rPr>
                <w:sz w:val="20"/>
                <w:szCs w:val="20"/>
              </w:rPr>
            </w:pPr>
            <w:r>
              <w:rPr>
                <w:sz w:val="20"/>
                <w:szCs w:val="20"/>
              </w:rPr>
              <w:t>x</w:t>
            </w:r>
          </w:p>
        </w:tc>
        <w:tc>
          <w:tcPr>
            <w:tcW w:w="450" w:type="dxa"/>
          </w:tcPr>
          <w:p w:rsidR="008A02CE" w:rsidRDefault="008A02CE" w:rsidP="00A808B7">
            <w:pPr>
              <w:rPr>
                <w:sz w:val="20"/>
                <w:szCs w:val="20"/>
              </w:rPr>
            </w:pPr>
          </w:p>
        </w:tc>
        <w:tc>
          <w:tcPr>
            <w:tcW w:w="450" w:type="dxa"/>
          </w:tcPr>
          <w:p w:rsidR="008A02CE" w:rsidRDefault="008A02CE" w:rsidP="00A808B7">
            <w:pPr>
              <w:rPr>
                <w:sz w:val="20"/>
                <w:szCs w:val="20"/>
              </w:rPr>
            </w:pPr>
          </w:p>
        </w:tc>
        <w:tc>
          <w:tcPr>
            <w:tcW w:w="450" w:type="dxa"/>
          </w:tcPr>
          <w:p w:rsidR="008A02CE" w:rsidRPr="0012477F" w:rsidRDefault="008A02CE" w:rsidP="00A808B7">
            <w:pPr>
              <w:rPr>
                <w:sz w:val="20"/>
                <w:szCs w:val="20"/>
              </w:rPr>
            </w:pPr>
          </w:p>
        </w:tc>
      </w:tr>
      <w:tr w:rsidR="00674317" w:rsidRPr="0012477F" w:rsidTr="00E6243B">
        <w:tc>
          <w:tcPr>
            <w:tcW w:w="2610" w:type="dxa"/>
          </w:tcPr>
          <w:p w:rsidR="00674317" w:rsidRDefault="00EF28AF" w:rsidP="008512A6">
            <w:hyperlink r:id="rId17" w:anchor="drafts?compose=149c936278d268cb" w:history="1">
              <w:r w:rsidR="00674317" w:rsidRPr="00E502C4">
                <w:rPr>
                  <w:rStyle w:val="Hyperlink"/>
                </w:rPr>
                <w:t>PBS Learning Media</w:t>
              </w:r>
            </w:hyperlink>
          </w:p>
        </w:tc>
        <w:tc>
          <w:tcPr>
            <w:tcW w:w="5310" w:type="dxa"/>
          </w:tcPr>
          <w:p w:rsidR="00674317" w:rsidRDefault="00EF28AF" w:rsidP="008512A6">
            <w:pPr>
              <w:rPr>
                <w:sz w:val="20"/>
                <w:szCs w:val="20"/>
              </w:rPr>
            </w:pPr>
            <w:hyperlink r:id="rId18" w:anchor="drafts?compose=149c936278d268cb" w:history="1">
              <w:r w:rsidR="00674317" w:rsidRPr="00E502C4">
                <w:rPr>
                  <w:rStyle w:val="Hyperlink"/>
                  <w:sz w:val="20"/>
                  <w:szCs w:val="20"/>
                </w:rPr>
                <w:t>Sign up</w:t>
              </w:r>
            </w:hyperlink>
            <w:r w:rsidR="00674317">
              <w:rPr>
                <w:sz w:val="20"/>
                <w:szCs w:val="20"/>
              </w:rPr>
              <w:t xml:space="preserve"> to download over 600 videos. Or </w:t>
            </w:r>
            <w:proofErr w:type="gramStart"/>
            <w:r w:rsidR="00674317">
              <w:rPr>
                <w:sz w:val="20"/>
                <w:szCs w:val="20"/>
              </w:rPr>
              <w:t>use off</w:t>
            </w:r>
            <w:proofErr w:type="gramEnd"/>
            <w:r w:rsidR="00674317">
              <w:rPr>
                <w:sz w:val="20"/>
                <w:szCs w:val="20"/>
              </w:rPr>
              <w:t xml:space="preserve"> the web.</w:t>
            </w:r>
          </w:p>
        </w:tc>
        <w:tc>
          <w:tcPr>
            <w:tcW w:w="450" w:type="dxa"/>
          </w:tcPr>
          <w:p w:rsidR="00674317" w:rsidRDefault="00674317" w:rsidP="008512A6">
            <w:pPr>
              <w:rPr>
                <w:sz w:val="20"/>
                <w:szCs w:val="20"/>
              </w:rPr>
            </w:pPr>
            <w:r>
              <w:rPr>
                <w:sz w:val="20"/>
                <w:szCs w:val="20"/>
              </w:rPr>
              <w:t>x</w:t>
            </w:r>
          </w:p>
        </w:tc>
        <w:tc>
          <w:tcPr>
            <w:tcW w:w="450" w:type="dxa"/>
          </w:tcPr>
          <w:p w:rsidR="00674317" w:rsidRPr="0012477F" w:rsidRDefault="00674317" w:rsidP="008512A6">
            <w:pPr>
              <w:rPr>
                <w:sz w:val="20"/>
                <w:szCs w:val="20"/>
              </w:rPr>
            </w:pPr>
            <w:r>
              <w:rPr>
                <w:sz w:val="20"/>
                <w:szCs w:val="20"/>
              </w:rPr>
              <w:t>x</w:t>
            </w:r>
          </w:p>
        </w:tc>
        <w:tc>
          <w:tcPr>
            <w:tcW w:w="450" w:type="dxa"/>
          </w:tcPr>
          <w:p w:rsidR="00674317" w:rsidRPr="0012477F" w:rsidRDefault="00674317" w:rsidP="008512A6">
            <w:pPr>
              <w:rPr>
                <w:sz w:val="20"/>
                <w:szCs w:val="20"/>
              </w:rPr>
            </w:pPr>
            <w:r>
              <w:rPr>
                <w:sz w:val="20"/>
                <w:szCs w:val="20"/>
              </w:rPr>
              <w:t>x</w:t>
            </w:r>
          </w:p>
        </w:tc>
        <w:tc>
          <w:tcPr>
            <w:tcW w:w="450" w:type="dxa"/>
          </w:tcPr>
          <w:p w:rsidR="00674317" w:rsidRPr="0012477F" w:rsidRDefault="00674317" w:rsidP="008512A6">
            <w:pPr>
              <w:rPr>
                <w:sz w:val="20"/>
                <w:szCs w:val="20"/>
              </w:rPr>
            </w:pPr>
            <w:r>
              <w:rPr>
                <w:sz w:val="20"/>
                <w:szCs w:val="20"/>
              </w:rPr>
              <w:t>x</w:t>
            </w:r>
          </w:p>
        </w:tc>
        <w:tc>
          <w:tcPr>
            <w:tcW w:w="450" w:type="dxa"/>
          </w:tcPr>
          <w:p w:rsidR="00674317" w:rsidRDefault="00674317" w:rsidP="008512A6">
            <w:pPr>
              <w:rPr>
                <w:sz w:val="20"/>
                <w:szCs w:val="20"/>
              </w:rPr>
            </w:pPr>
            <w:r>
              <w:rPr>
                <w:sz w:val="20"/>
                <w:szCs w:val="20"/>
              </w:rPr>
              <w:t>x</w:t>
            </w:r>
          </w:p>
        </w:tc>
        <w:tc>
          <w:tcPr>
            <w:tcW w:w="450" w:type="dxa"/>
          </w:tcPr>
          <w:p w:rsidR="00674317" w:rsidRPr="0012477F" w:rsidRDefault="00674317" w:rsidP="00A808B7">
            <w:pPr>
              <w:rPr>
                <w:sz w:val="20"/>
                <w:szCs w:val="20"/>
              </w:rPr>
            </w:pPr>
          </w:p>
        </w:tc>
      </w:tr>
      <w:tr w:rsidR="00674317" w:rsidRPr="0012477F" w:rsidTr="00E6243B">
        <w:tc>
          <w:tcPr>
            <w:tcW w:w="2610" w:type="dxa"/>
          </w:tcPr>
          <w:p w:rsidR="00674317" w:rsidRPr="0012477F" w:rsidRDefault="00EF28AF" w:rsidP="00A808B7">
            <w:pPr>
              <w:rPr>
                <w:sz w:val="20"/>
                <w:szCs w:val="20"/>
              </w:rPr>
            </w:pPr>
            <w:hyperlink r:id="rId19" w:history="1">
              <w:r w:rsidR="00674317" w:rsidRPr="00C16838">
                <w:rPr>
                  <w:rStyle w:val="Hyperlink"/>
                  <w:sz w:val="20"/>
                  <w:szCs w:val="20"/>
                </w:rPr>
                <w:t>PBS Math Club</w:t>
              </w:r>
            </w:hyperlink>
          </w:p>
        </w:tc>
        <w:tc>
          <w:tcPr>
            <w:tcW w:w="5310" w:type="dxa"/>
          </w:tcPr>
          <w:p w:rsidR="00674317" w:rsidRPr="0012477F" w:rsidRDefault="00674317" w:rsidP="00A808B7">
            <w:pPr>
              <w:rPr>
                <w:sz w:val="20"/>
                <w:szCs w:val="20"/>
              </w:rPr>
            </w:pPr>
            <w:r>
              <w:rPr>
                <w:sz w:val="20"/>
                <w:szCs w:val="20"/>
              </w:rPr>
              <w:t>Cool 7</w:t>
            </w:r>
            <w:r w:rsidRPr="00C16838">
              <w:rPr>
                <w:sz w:val="20"/>
                <w:szCs w:val="20"/>
                <w:vertAlign w:val="superscript"/>
              </w:rPr>
              <w:t>th</w:t>
            </w:r>
            <w:r>
              <w:rPr>
                <w:sz w:val="20"/>
                <w:szCs w:val="20"/>
              </w:rPr>
              <w:t xml:space="preserve"> grade CCSS videos for MS students to get them excited about math topics. Ever growing number of videos.</w:t>
            </w:r>
          </w:p>
        </w:tc>
        <w:tc>
          <w:tcPr>
            <w:tcW w:w="450" w:type="dxa"/>
          </w:tcPr>
          <w:p w:rsidR="00674317" w:rsidRPr="0012477F" w:rsidRDefault="00674317" w:rsidP="00A808B7">
            <w:pPr>
              <w:rPr>
                <w:sz w:val="20"/>
                <w:szCs w:val="20"/>
              </w:rPr>
            </w:pPr>
            <w:r>
              <w:rPr>
                <w:sz w:val="20"/>
                <w:szCs w:val="20"/>
              </w:rPr>
              <w:t>x</w:t>
            </w: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r>
              <w:rPr>
                <w:sz w:val="20"/>
                <w:szCs w:val="20"/>
              </w:rPr>
              <w:t>x</w:t>
            </w:r>
          </w:p>
        </w:tc>
        <w:tc>
          <w:tcPr>
            <w:tcW w:w="450" w:type="dxa"/>
          </w:tcPr>
          <w:p w:rsidR="00674317" w:rsidRPr="0012477F" w:rsidRDefault="00674317" w:rsidP="00A808B7">
            <w:pPr>
              <w:rPr>
                <w:sz w:val="20"/>
                <w:szCs w:val="20"/>
              </w:rPr>
            </w:pPr>
          </w:p>
        </w:tc>
      </w:tr>
      <w:tr w:rsidR="00674317" w:rsidRPr="0012477F" w:rsidTr="00E6243B">
        <w:tc>
          <w:tcPr>
            <w:tcW w:w="2610" w:type="dxa"/>
          </w:tcPr>
          <w:p w:rsidR="00674317" w:rsidRPr="0012477F" w:rsidRDefault="00EF28AF" w:rsidP="00A808B7">
            <w:pPr>
              <w:rPr>
                <w:sz w:val="20"/>
                <w:szCs w:val="20"/>
              </w:rPr>
            </w:pPr>
            <w:hyperlink r:id="rId20" w:history="1">
              <w:r w:rsidR="00674317" w:rsidRPr="0012477F">
                <w:rPr>
                  <w:rStyle w:val="Hyperlink"/>
                  <w:sz w:val="20"/>
                  <w:szCs w:val="20"/>
                </w:rPr>
                <w:t>+plus magazine</w:t>
              </w:r>
            </w:hyperlink>
          </w:p>
        </w:tc>
        <w:tc>
          <w:tcPr>
            <w:tcW w:w="5310" w:type="dxa"/>
          </w:tcPr>
          <w:p w:rsidR="00674317" w:rsidRPr="0012477F" w:rsidRDefault="00674317" w:rsidP="00A808B7">
            <w:pPr>
              <w:rPr>
                <w:sz w:val="20"/>
                <w:szCs w:val="20"/>
              </w:rPr>
            </w:pPr>
            <w:r w:rsidRPr="0012477F">
              <w:rPr>
                <w:rFonts w:cs="Arial"/>
                <w:color w:val="1B1B1B"/>
                <w:sz w:val="20"/>
                <w:szCs w:val="20"/>
              </w:rPr>
              <w:t>Op</w:t>
            </w:r>
            <w:r>
              <w:rPr>
                <w:rFonts w:cs="Arial"/>
                <w:color w:val="1B1B1B"/>
                <w:sz w:val="20"/>
                <w:szCs w:val="20"/>
              </w:rPr>
              <w:t>ens a door to the world of math</w:t>
            </w:r>
            <w:r w:rsidRPr="0012477F">
              <w:rPr>
                <w:rFonts w:cs="Arial"/>
                <w:color w:val="1B1B1B"/>
                <w:sz w:val="20"/>
                <w:szCs w:val="20"/>
              </w:rPr>
              <w:t>, with all its beauty and applications, by providing articles from the top mathematicians and science writers on topics as diverse as art, medicine, cosmology and sport to introduce readers to practical applications of mathematics.</w:t>
            </w: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p>
        </w:tc>
        <w:tc>
          <w:tcPr>
            <w:tcW w:w="450" w:type="dxa"/>
          </w:tcPr>
          <w:p w:rsidR="00674317" w:rsidRPr="0012477F" w:rsidRDefault="00674317" w:rsidP="00A808B7">
            <w:pPr>
              <w:rPr>
                <w:sz w:val="20"/>
                <w:szCs w:val="20"/>
              </w:rPr>
            </w:pPr>
            <w:r>
              <w:rPr>
                <w:sz w:val="20"/>
                <w:szCs w:val="20"/>
              </w:rPr>
              <w:t>x</w:t>
            </w:r>
          </w:p>
        </w:tc>
      </w:tr>
      <w:tr w:rsidR="00694E70" w:rsidRPr="0012477F" w:rsidTr="00E6243B">
        <w:tc>
          <w:tcPr>
            <w:tcW w:w="2610" w:type="dxa"/>
          </w:tcPr>
          <w:p w:rsidR="00694E70" w:rsidRDefault="00EF28AF" w:rsidP="00A808B7">
            <w:hyperlink r:id="rId21" w:history="1">
              <w:r w:rsidR="00694E70" w:rsidRPr="00694E70">
                <w:rPr>
                  <w:rStyle w:val="Hyperlink"/>
                </w:rPr>
                <w:t>WeUseMath.org</w:t>
              </w:r>
            </w:hyperlink>
          </w:p>
        </w:tc>
        <w:tc>
          <w:tcPr>
            <w:tcW w:w="5310" w:type="dxa"/>
          </w:tcPr>
          <w:p w:rsidR="00694E70" w:rsidRPr="0012477F" w:rsidRDefault="00694E70" w:rsidP="00A808B7">
            <w:pPr>
              <w:rPr>
                <w:rFonts w:cs="Arial"/>
                <w:color w:val="1B1B1B"/>
                <w:sz w:val="20"/>
                <w:szCs w:val="20"/>
              </w:rPr>
            </w:pPr>
            <w:r>
              <w:rPr>
                <w:rFonts w:cs="Arial"/>
                <w:color w:val="1B1B1B"/>
                <w:sz w:val="20"/>
                <w:szCs w:val="20"/>
              </w:rPr>
              <w:t>Site dedica</w:t>
            </w:r>
            <w:r w:rsidR="00B1294B">
              <w:rPr>
                <w:rFonts w:cs="Arial"/>
                <w:color w:val="1B1B1B"/>
                <w:sz w:val="20"/>
                <w:szCs w:val="20"/>
              </w:rPr>
              <w:t>ted to answering the question, “</w:t>
            </w:r>
            <w:r>
              <w:rPr>
                <w:rFonts w:cs="Arial"/>
                <w:color w:val="1B1B1B"/>
                <w:sz w:val="20"/>
                <w:szCs w:val="20"/>
              </w:rPr>
              <w:t>When will I use math?”</w:t>
            </w:r>
          </w:p>
        </w:tc>
        <w:tc>
          <w:tcPr>
            <w:tcW w:w="450" w:type="dxa"/>
          </w:tcPr>
          <w:p w:rsidR="00694E70" w:rsidRPr="0012477F" w:rsidRDefault="00694E70" w:rsidP="00A808B7">
            <w:pPr>
              <w:rPr>
                <w:sz w:val="20"/>
                <w:szCs w:val="20"/>
              </w:rPr>
            </w:pPr>
          </w:p>
        </w:tc>
        <w:tc>
          <w:tcPr>
            <w:tcW w:w="450" w:type="dxa"/>
          </w:tcPr>
          <w:p w:rsidR="00694E70" w:rsidRPr="0012477F" w:rsidRDefault="00694E70" w:rsidP="00A808B7">
            <w:pPr>
              <w:rPr>
                <w:sz w:val="20"/>
                <w:szCs w:val="20"/>
              </w:rPr>
            </w:pPr>
          </w:p>
        </w:tc>
        <w:tc>
          <w:tcPr>
            <w:tcW w:w="450" w:type="dxa"/>
          </w:tcPr>
          <w:p w:rsidR="00694E70" w:rsidRPr="0012477F" w:rsidRDefault="00694E70" w:rsidP="00A808B7">
            <w:pPr>
              <w:rPr>
                <w:sz w:val="20"/>
                <w:szCs w:val="20"/>
              </w:rPr>
            </w:pPr>
          </w:p>
        </w:tc>
        <w:tc>
          <w:tcPr>
            <w:tcW w:w="450" w:type="dxa"/>
          </w:tcPr>
          <w:p w:rsidR="00694E70" w:rsidRPr="0012477F" w:rsidRDefault="00694E70" w:rsidP="00A808B7">
            <w:pPr>
              <w:rPr>
                <w:sz w:val="20"/>
                <w:szCs w:val="20"/>
              </w:rPr>
            </w:pPr>
          </w:p>
        </w:tc>
        <w:tc>
          <w:tcPr>
            <w:tcW w:w="450" w:type="dxa"/>
          </w:tcPr>
          <w:p w:rsidR="00694E70" w:rsidRPr="0012477F" w:rsidRDefault="00694E70" w:rsidP="00A808B7">
            <w:pPr>
              <w:rPr>
                <w:sz w:val="20"/>
                <w:szCs w:val="20"/>
              </w:rPr>
            </w:pPr>
          </w:p>
        </w:tc>
        <w:tc>
          <w:tcPr>
            <w:tcW w:w="450" w:type="dxa"/>
          </w:tcPr>
          <w:p w:rsidR="00694E70" w:rsidRDefault="00694E70" w:rsidP="00A808B7">
            <w:pPr>
              <w:rPr>
                <w:sz w:val="20"/>
                <w:szCs w:val="20"/>
              </w:rPr>
            </w:pPr>
            <w:r>
              <w:rPr>
                <w:sz w:val="20"/>
                <w:szCs w:val="20"/>
              </w:rPr>
              <w:t>x</w:t>
            </w:r>
          </w:p>
        </w:tc>
      </w:tr>
      <w:tr w:rsidR="00674317" w:rsidRPr="0012477F" w:rsidTr="00E6243B">
        <w:tc>
          <w:tcPr>
            <w:tcW w:w="2610" w:type="dxa"/>
          </w:tcPr>
          <w:p w:rsidR="00674317" w:rsidRPr="0012477F" w:rsidRDefault="00EF28AF" w:rsidP="00F9551C">
            <w:pPr>
              <w:rPr>
                <w:sz w:val="20"/>
                <w:szCs w:val="20"/>
              </w:rPr>
            </w:pPr>
            <w:hyperlink r:id="rId22" w:anchor="review" w:history="1">
              <w:r w:rsidR="00784EE7" w:rsidRPr="00EF28AF">
                <w:rPr>
                  <w:rStyle w:val="Hyperlink"/>
                  <w:sz w:val="20"/>
                  <w:szCs w:val="20"/>
                </w:rPr>
                <w:t xml:space="preserve">Ted Talk </w:t>
              </w:r>
              <w:r w:rsidRPr="00EF28AF">
                <w:rPr>
                  <w:rStyle w:val="Hyperlink"/>
                  <w:sz w:val="20"/>
                  <w:szCs w:val="20"/>
                </w:rPr>
                <w:t>About Math in Music</w:t>
              </w:r>
            </w:hyperlink>
          </w:p>
        </w:tc>
        <w:tc>
          <w:tcPr>
            <w:tcW w:w="5310" w:type="dxa"/>
          </w:tcPr>
          <w:p w:rsidR="00674317" w:rsidRPr="0012477F" w:rsidRDefault="00EF28AF" w:rsidP="00F9551C">
            <w:pPr>
              <w:rPr>
                <w:sz w:val="20"/>
                <w:szCs w:val="20"/>
              </w:rPr>
            </w:pPr>
            <w:r>
              <w:rPr>
                <w:sz w:val="20"/>
                <w:szCs w:val="20"/>
              </w:rPr>
              <w:t>Cool Ted Talk about the role math plays in music .</w:t>
            </w:r>
            <w:bookmarkStart w:id="0" w:name="_GoBack"/>
            <w:bookmarkEnd w:id="0"/>
          </w:p>
        </w:tc>
        <w:tc>
          <w:tcPr>
            <w:tcW w:w="450" w:type="dxa"/>
          </w:tcPr>
          <w:p w:rsidR="00674317" w:rsidRPr="0012477F" w:rsidRDefault="00674317">
            <w:pPr>
              <w:rPr>
                <w:sz w:val="20"/>
                <w:szCs w:val="20"/>
              </w:rPr>
            </w:pPr>
          </w:p>
        </w:tc>
        <w:tc>
          <w:tcPr>
            <w:tcW w:w="450" w:type="dxa"/>
          </w:tcPr>
          <w:p w:rsidR="00674317" w:rsidRPr="0012477F" w:rsidRDefault="00674317">
            <w:pPr>
              <w:rPr>
                <w:sz w:val="20"/>
                <w:szCs w:val="20"/>
              </w:rPr>
            </w:pPr>
          </w:p>
        </w:tc>
        <w:tc>
          <w:tcPr>
            <w:tcW w:w="450" w:type="dxa"/>
          </w:tcPr>
          <w:p w:rsidR="00674317" w:rsidRPr="0012477F" w:rsidRDefault="00674317">
            <w:pPr>
              <w:rPr>
                <w:sz w:val="20"/>
                <w:szCs w:val="20"/>
              </w:rPr>
            </w:pPr>
          </w:p>
        </w:tc>
        <w:tc>
          <w:tcPr>
            <w:tcW w:w="450" w:type="dxa"/>
          </w:tcPr>
          <w:p w:rsidR="00674317" w:rsidRPr="0012477F" w:rsidRDefault="00674317">
            <w:pPr>
              <w:rPr>
                <w:sz w:val="20"/>
                <w:szCs w:val="20"/>
              </w:rPr>
            </w:pPr>
          </w:p>
        </w:tc>
        <w:tc>
          <w:tcPr>
            <w:tcW w:w="450" w:type="dxa"/>
          </w:tcPr>
          <w:p w:rsidR="00674317" w:rsidRPr="0012477F" w:rsidRDefault="00674317">
            <w:pPr>
              <w:rPr>
                <w:sz w:val="20"/>
                <w:szCs w:val="20"/>
              </w:rPr>
            </w:pPr>
          </w:p>
        </w:tc>
        <w:tc>
          <w:tcPr>
            <w:tcW w:w="450" w:type="dxa"/>
          </w:tcPr>
          <w:p w:rsidR="00674317" w:rsidRPr="0012477F" w:rsidRDefault="00EF28AF">
            <w:pPr>
              <w:rPr>
                <w:sz w:val="20"/>
                <w:szCs w:val="20"/>
              </w:rPr>
            </w:pPr>
            <w:r>
              <w:rPr>
                <w:sz w:val="20"/>
                <w:szCs w:val="20"/>
              </w:rPr>
              <w:t>x</w:t>
            </w:r>
          </w:p>
        </w:tc>
      </w:tr>
      <w:tr w:rsidR="00674317" w:rsidRPr="0012477F" w:rsidTr="00E6243B">
        <w:tc>
          <w:tcPr>
            <w:tcW w:w="2610" w:type="dxa"/>
          </w:tcPr>
          <w:p w:rsidR="00674317" w:rsidRPr="0012477F" w:rsidRDefault="00EF28AF" w:rsidP="003177ED">
            <w:pPr>
              <w:rPr>
                <w:sz w:val="20"/>
                <w:szCs w:val="20"/>
              </w:rPr>
            </w:pPr>
            <w:hyperlink r:id="rId23" w:history="1">
              <w:r w:rsidR="00306C21" w:rsidRPr="00306C21">
                <w:rPr>
                  <w:rStyle w:val="Hyperlink"/>
                  <w:sz w:val="20"/>
                  <w:szCs w:val="20"/>
                </w:rPr>
                <w:t>Car Talk Puzzlers</w:t>
              </w:r>
            </w:hyperlink>
          </w:p>
        </w:tc>
        <w:tc>
          <w:tcPr>
            <w:tcW w:w="5310" w:type="dxa"/>
          </w:tcPr>
          <w:p w:rsidR="00674317" w:rsidRPr="0012477F" w:rsidRDefault="00306C21" w:rsidP="003177ED">
            <w:pPr>
              <w:rPr>
                <w:sz w:val="20"/>
                <w:szCs w:val="20"/>
              </w:rPr>
            </w:pPr>
            <w:r>
              <w:rPr>
                <w:sz w:val="20"/>
                <w:szCs w:val="20"/>
              </w:rPr>
              <w:t xml:space="preserve">Math problems with a car theme. </w:t>
            </w:r>
          </w:p>
        </w:tc>
        <w:tc>
          <w:tcPr>
            <w:tcW w:w="450" w:type="dxa"/>
          </w:tcPr>
          <w:p w:rsidR="00674317" w:rsidRPr="0012477F" w:rsidRDefault="00EF28AF">
            <w:pPr>
              <w:rPr>
                <w:sz w:val="20"/>
                <w:szCs w:val="20"/>
              </w:rPr>
            </w:pPr>
            <w:r>
              <w:rPr>
                <w:sz w:val="20"/>
                <w:szCs w:val="20"/>
              </w:rPr>
              <w:t>x</w:t>
            </w:r>
          </w:p>
        </w:tc>
        <w:tc>
          <w:tcPr>
            <w:tcW w:w="450" w:type="dxa"/>
          </w:tcPr>
          <w:p w:rsidR="00674317" w:rsidRPr="0012477F" w:rsidRDefault="00674317">
            <w:pPr>
              <w:rPr>
                <w:sz w:val="20"/>
                <w:szCs w:val="20"/>
              </w:rPr>
            </w:pPr>
          </w:p>
        </w:tc>
        <w:tc>
          <w:tcPr>
            <w:tcW w:w="450" w:type="dxa"/>
          </w:tcPr>
          <w:p w:rsidR="00674317" w:rsidRPr="0012477F" w:rsidRDefault="00674317">
            <w:pPr>
              <w:rPr>
                <w:sz w:val="20"/>
                <w:szCs w:val="20"/>
              </w:rPr>
            </w:pPr>
          </w:p>
        </w:tc>
        <w:tc>
          <w:tcPr>
            <w:tcW w:w="450" w:type="dxa"/>
          </w:tcPr>
          <w:p w:rsidR="00674317" w:rsidRPr="0012477F" w:rsidRDefault="00EF28AF">
            <w:pPr>
              <w:rPr>
                <w:sz w:val="20"/>
                <w:szCs w:val="20"/>
              </w:rPr>
            </w:pPr>
            <w:r>
              <w:rPr>
                <w:sz w:val="20"/>
                <w:szCs w:val="20"/>
              </w:rPr>
              <w:t>x</w:t>
            </w:r>
          </w:p>
        </w:tc>
        <w:tc>
          <w:tcPr>
            <w:tcW w:w="450" w:type="dxa"/>
          </w:tcPr>
          <w:p w:rsidR="00674317" w:rsidRPr="0012477F" w:rsidRDefault="00674317">
            <w:pPr>
              <w:rPr>
                <w:sz w:val="20"/>
                <w:szCs w:val="20"/>
              </w:rPr>
            </w:pPr>
          </w:p>
        </w:tc>
        <w:tc>
          <w:tcPr>
            <w:tcW w:w="450" w:type="dxa"/>
          </w:tcPr>
          <w:p w:rsidR="00674317" w:rsidRPr="0012477F" w:rsidRDefault="00674317">
            <w:pPr>
              <w:rPr>
                <w:sz w:val="20"/>
                <w:szCs w:val="20"/>
              </w:rPr>
            </w:pPr>
          </w:p>
        </w:tc>
      </w:tr>
      <w:tr w:rsidR="00674317" w:rsidRPr="0012477F" w:rsidTr="00E6243B">
        <w:tc>
          <w:tcPr>
            <w:tcW w:w="2610" w:type="dxa"/>
          </w:tcPr>
          <w:p w:rsidR="00674317" w:rsidRPr="0012477F" w:rsidRDefault="00EF28AF">
            <w:pPr>
              <w:rPr>
                <w:sz w:val="20"/>
                <w:szCs w:val="20"/>
              </w:rPr>
            </w:pPr>
            <w:hyperlink r:id="rId24" w:history="1">
              <w:proofErr w:type="spellStart"/>
              <w:r w:rsidR="00AD0545" w:rsidRPr="00EF28AF">
                <w:rPr>
                  <w:rStyle w:val="Hyperlink"/>
                  <w:sz w:val="20"/>
                  <w:szCs w:val="20"/>
                </w:rPr>
                <w:t>Mathalicious</w:t>
              </w:r>
              <w:proofErr w:type="spellEnd"/>
            </w:hyperlink>
            <w:r w:rsidR="00AD0545">
              <w:rPr>
                <w:sz w:val="20"/>
                <w:szCs w:val="20"/>
              </w:rPr>
              <w:t xml:space="preserve"> </w:t>
            </w:r>
          </w:p>
        </w:tc>
        <w:tc>
          <w:tcPr>
            <w:tcW w:w="5310" w:type="dxa"/>
          </w:tcPr>
          <w:p w:rsidR="00AD0545" w:rsidRPr="0012477F" w:rsidRDefault="00AD0545">
            <w:pPr>
              <w:rPr>
                <w:sz w:val="20"/>
                <w:szCs w:val="20"/>
              </w:rPr>
            </w:pPr>
            <w:r>
              <w:rPr>
                <w:sz w:val="20"/>
                <w:szCs w:val="20"/>
              </w:rPr>
              <w:t xml:space="preserve">Growing number of 6-12 grade lessons aligned to math core. </w:t>
            </w:r>
            <w:r w:rsidRPr="00AD0545">
              <w:rPr>
                <w:rFonts w:cs="Helvetica"/>
                <w:color w:val="333333"/>
                <w:sz w:val="20"/>
                <w:szCs w:val="20"/>
              </w:rPr>
              <w:t>Lessons emphasize conceptual understanding through engaging real-world applications</w:t>
            </w:r>
            <w:r>
              <w:rPr>
                <w:rFonts w:ascii="Helvetica" w:hAnsi="Helvetica" w:cs="Helvetica"/>
                <w:color w:val="333333"/>
                <w:sz w:val="21"/>
                <w:szCs w:val="21"/>
              </w:rPr>
              <w:t>.</w:t>
            </w:r>
          </w:p>
        </w:tc>
        <w:tc>
          <w:tcPr>
            <w:tcW w:w="450" w:type="dxa"/>
          </w:tcPr>
          <w:p w:rsidR="00674317" w:rsidRPr="0012477F" w:rsidRDefault="00AD0545">
            <w:pPr>
              <w:rPr>
                <w:sz w:val="20"/>
                <w:szCs w:val="20"/>
              </w:rPr>
            </w:pPr>
            <w:r>
              <w:rPr>
                <w:sz w:val="20"/>
                <w:szCs w:val="20"/>
              </w:rPr>
              <w:t>x</w:t>
            </w:r>
          </w:p>
        </w:tc>
        <w:tc>
          <w:tcPr>
            <w:tcW w:w="450" w:type="dxa"/>
          </w:tcPr>
          <w:p w:rsidR="00674317" w:rsidRPr="0012477F" w:rsidRDefault="00AD0545">
            <w:pPr>
              <w:rPr>
                <w:sz w:val="20"/>
                <w:szCs w:val="20"/>
              </w:rPr>
            </w:pPr>
            <w:r>
              <w:rPr>
                <w:sz w:val="20"/>
                <w:szCs w:val="20"/>
              </w:rPr>
              <w:t>x</w:t>
            </w:r>
          </w:p>
        </w:tc>
        <w:tc>
          <w:tcPr>
            <w:tcW w:w="450" w:type="dxa"/>
          </w:tcPr>
          <w:p w:rsidR="00674317" w:rsidRPr="0012477F" w:rsidRDefault="00AD0545">
            <w:pPr>
              <w:rPr>
                <w:sz w:val="20"/>
                <w:szCs w:val="20"/>
              </w:rPr>
            </w:pPr>
            <w:r>
              <w:rPr>
                <w:sz w:val="20"/>
                <w:szCs w:val="20"/>
              </w:rPr>
              <w:t>x</w:t>
            </w:r>
          </w:p>
        </w:tc>
        <w:tc>
          <w:tcPr>
            <w:tcW w:w="450" w:type="dxa"/>
          </w:tcPr>
          <w:p w:rsidR="00674317" w:rsidRPr="0012477F" w:rsidRDefault="00AD0545">
            <w:pPr>
              <w:rPr>
                <w:sz w:val="20"/>
                <w:szCs w:val="20"/>
              </w:rPr>
            </w:pPr>
            <w:r>
              <w:rPr>
                <w:sz w:val="20"/>
                <w:szCs w:val="20"/>
              </w:rPr>
              <w:t>x</w:t>
            </w:r>
          </w:p>
        </w:tc>
        <w:tc>
          <w:tcPr>
            <w:tcW w:w="450" w:type="dxa"/>
          </w:tcPr>
          <w:p w:rsidR="00674317" w:rsidRPr="0012477F" w:rsidRDefault="00AD0545">
            <w:pPr>
              <w:rPr>
                <w:sz w:val="20"/>
                <w:szCs w:val="20"/>
              </w:rPr>
            </w:pPr>
            <w:r>
              <w:rPr>
                <w:sz w:val="20"/>
                <w:szCs w:val="20"/>
              </w:rPr>
              <w:t>x</w:t>
            </w:r>
          </w:p>
        </w:tc>
        <w:tc>
          <w:tcPr>
            <w:tcW w:w="450" w:type="dxa"/>
          </w:tcPr>
          <w:p w:rsidR="00674317" w:rsidRPr="0012477F" w:rsidRDefault="00674317">
            <w:pPr>
              <w:rPr>
                <w:sz w:val="20"/>
                <w:szCs w:val="20"/>
              </w:rPr>
            </w:pPr>
          </w:p>
        </w:tc>
      </w:tr>
    </w:tbl>
    <w:p w:rsidR="00493BA8" w:rsidRDefault="00493BA8"/>
    <w:sectPr w:rsidR="00493BA8" w:rsidSect="00516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A8"/>
    <w:rsid w:val="000972A0"/>
    <w:rsid w:val="001135AD"/>
    <w:rsid w:val="0012477F"/>
    <w:rsid w:val="00132886"/>
    <w:rsid w:val="001D558C"/>
    <w:rsid w:val="00262E8C"/>
    <w:rsid w:val="00306C21"/>
    <w:rsid w:val="00351292"/>
    <w:rsid w:val="003C2C78"/>
    <w:rsid w:val="003D2264"/>
    <w:rsid w:val="00416944"/>
    <w:rsid w:val="00441000"/>
    <w:rsid w:val="00493BA8"/>
    <w:rsid w:val="0051697A"/>
    <w:rsid w:val="00674317"/>
    <w:rsid w:val="00694E70"/>
    <w:rsid w:val="00784EE7"/>
    <w:rsid w:val="008A02CE"/>
    <w:rsid w:val="008A52BC"/>
    <w:rsid w:val="00A67E58"/>
    <w:rsid w:val="00AD0545"/>
    <w:rsid w:val="00B1294B"/>
    <w:rsid w:val="00C16838"/>
    <w:rsid w:val="00C24569"/>
    <w:rsid w:val="00C76EEA"/>
    <w:rsid w:val="00CC2BFD"/>
    <w:rsid w:val="00D56B98"/>
    <w:rsid w:val="00D64B74"/>
    <w:rsid w:val="00DC76B2"/>
    <w:rsid w:val="00E15A1C"/>
    <w:rsid w:val="00E502C4"/>
    <w:rsid w:val="00E6243B"/>
    <w:rsid w:val="00E85ECA"/>
    <w:rsid w:val="00EF28AF"/>
    <w:rsid w:val="00F8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BA8"/>
    <w:rPr>
      <w:color w:val="0000FF" w:themeColor="hyperlink"/>
      <w:u w:val="single"/>
    </w:rPr>
  </w:style>
  <w:style w:type="character" w:styleId="FollowedHyperlink">
    <w:name w:val="FollowedHyperlink"/>
    <w:basedOn w:val="DefaultParagraphFont"/>
    <w:uiPriority w:val="99"/>
    <w:semiHidden/>
    <w:unhideWhenUsed/>
    <w:rsid w:val="00F87D7A"/>
    <w:rPr>
      <w:color w:val="800080" w:themeColor="followedHyperlink"/>
      <w:u w:val="single"/>
    </w:rPr>
  </w:style>
  <w:style w:type="character" w:styleId="Emphasis">
    <w:name w:val="Emphasis"/>
    <w:basedOn w:val="DefaultParagraphFont"/>
    <w:uiPriority w:val="20"/>
    <w:qFormat/>
    <w:rsid w:val="001247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BA8"/>
    <w:rPr>
      <w:color w:val="0000FF" w:themeColor="hyperlink"/>
      <w:u w:val="single"/>
    </w:rPr>
  </w:style>
  <w:style w:type="character" w:styleId="FollowedHyperlink">
    <w:name w:val="FollowedHyperlink"/>
    <w:basedOn w:val="DefaultParagraphFont"/>
    <w:uiPriority w:val="99"/>
    <w:semiHidden/>
    <w:unhideWhenUsed/>
    <w:rsid w:val="00F87D7A"/>
    <w:rPr>
      <w:color w:val="800080" w:themeColor="followedHyperlink"/>
      <w:u w:val="single"/>
    </w:rPr>
  </w:style>
  <w:style w:type="character" w:styleId="Emphasis">
    <w:name w:val="Emphasis"/>
    <w:basedOn w:val="DefaultParagraphFont"/>
    <w:uiPriority w:val="20"/>
    <w:qFormat/>
    <w:rsid w:val="00124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futureschannel.com/" TargetMode="External"/><Relationship Id="rId13" Type="http://schemas.openxmlformats.org/officeDocument/2006/relationships/hyperlink" Target="https://www.khanacademy.org/commoncore" TargetMode="External"/><Relationship Id="rId18" Type="http://schemas.openxmlformats.org/officeDocument/2006/relationships/hyperlink" Target="https://mail.google.com/mail/u/0/?shva=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usemath.org/" TargetMode="External"/><Relationship Id="rId7" Type="http://schemas.openxmlformats.org/officeDocument/2006/relationships/hyperlink" Target="http://www.ct4me.net/math_manipulatives.htm" TargetMode="External"/><Relationship Id="rId12" Type="http://schemas.openxmlformats.org/officeDocument/2006/relationships/hyperlink" Target="https://www.khanacademy.org/coach-res/k12-classrooms" TargetMode="External"/><Relationship Id="rId17" Type="http://schemas.openxmlformats.org/officeDocument/2006/relationships/hyperlink" Target="https://mail.google.com/mail/u/0/?shva=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umberphile.com/" TargetMode="External"/><Relationship Id="rId20" Type="http://schemas.openxmlformats.org/officeDocument/2006/relationships/hyperlink" Target="http://plus.maths.org/content/" TargetMode="External"/><Relationship Id="rId1" Type="http://schemas.openxmlformats.org/officeDocument/2006/relationships/styles" Target="styles.xml"/><Relationship Id="rId6" Type="http://schemas.openxmlformats.org/officeDocument/2006/relationships/hyperlink" Target="http://concord.org/stem-resources/subject/mathematics" TargetMode="External"/><Relationship Id="rId11" Type="http://schemas.openxmlformats.org/officeDocument/2006/relationships/hyperlink" Target="https://www.khanacademy.org/commoncore/map" TargetMode="External"/><Relationship Id="rId24" Type="http://schemas.openxmlformats.org/officeDocument/2006/relationships/hyperlink" Target="http://www.mathalicious.com/" TargetMode="External"/><Relationship Id="rId5" Type="http://schemas.openxmlformats.org/officeDocument/2006/relationships/hyperlink" Target="http://www.learner.org/interactives/?d%5b%5d=MATH" TargetMode="External"/><Relationship Id="rId15" Type="http://schemas.openxmlformats.org/officeDocument/2006/relationships/hyperlink" Target="http://nsdl.org/search/standards/D10003FB/" TargetMode="External"/><Relationship Id="rId23" Type="http://schemas.openxmlformats.org/officeDocument/2006/relationships/hyperlink" Target="http://www.cartalk.com/content/puzzlers" TargetMode="External"/><Relationship Id="rId10" Type="http://schemas.openxmlformats.org/officeDocument/2006/relationships/hyperlink" Target="https://www.khanacademy.org/about" TargetMode="External"/><Relationship Id="rId19" Type="http://schemas.openxmlformats.org/officeDocument/2006/relationships/hyperlink" Target="https://www.youtube.com/user/PBSMathClub/videos" TargetMode="External"/><Relationship Id="rId4" Type="http://schemas.openxmlformats.org/officeDocument/2006/relationships/webSettings" Target="webSettings.xml"/><Relationship Id="rId9" Type="http://schemas.openxmlformats.org/officeDocument/2006/relationships/hyperlink" Target="http://www.thirteen.org/get-the-math/" TargetMode="External"/><Relationship Id="rId14" Type="http://schemas.openxmlformats.org/officeDocument/2006/relationships/hyperlink" Target="http://www.math.uci.edu/math-majors/math-career-resources" TargetMode="External"/><Relationship Id="rId22" Type="http://schemas.openxmlformats.org/officeDocument/2006/relationships/hyperlink" Target="http://ed.ted.com/lessons/a-rhythm-etic-the-math-behind-the-beats-clayton-came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Christensen</dc:creator>
  <cp:lastModifiedBy>Dave Christensen</cp:lastModifiedBy>
  <cp:revision>10</cp:revision>
  <dcterms:created xsi:type="dcterms:W3CDTF">2014-12-16T22:26:00Z</dcterms:created>
  <dcterms:modified xsi:type="dcterms:W3CDTF">2015-04-07T20:03:00Z</dcterms:modified>
</cp:coreProperties>
</file>