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3F" w:rsidRPr="00DC1E72" w:rsidRDefault="00DC1E72" w:rsidP="00C05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</w:t>
      </w:r>
      <w:r w:rsidR="00C05C3F" w:rsidRPr="00DC1E72">
        <w:rPr>
          <w:b/>
          <w:sz w:val="24"/>
          <w:szCs w:val="24"/>
        </w:rPr>
        <w:t>Iowa Core Science</w:t>
      </w:r>
    </w:p>
    <w:p w:rsidR="00D551E8" w:rsidRPr="00DC1E72" w:rsidRDefault="00D551E8" w:rsidP="00DC1E72">
      <w:pPr>
        <w:jc w:val="center"/>
        <w:rPr>
          <w:b/>
          <w:sz w:val="24"/>
          <w:szCs w:val="24"/>
        </w:rPr>
      </w:pPr>
      <w:r w:rsidRPr="00DC1E72">
        <w:rPr>
          <w:b/>
          <w:sz w:val="24"/>
          <w:szCs w:val="24"/>
        </w:rPr>
        <w:t>Current Reality:</w:t>
      </w:r>
    </w:p>
    <w:p w:rsidR="00C05C3F" w:rsidRPr="00DC1E72" w:rsidRDefault="00C05C3F" w:rsidP="00D551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E72">
        <w:rPr>
          <w:sz w:val="24"/>
          <w:szCs w:val="24"/>
        </w:rPr>
        <w:t xml:space="preserve">Iowa State Board of Education Replaced 2008 Standards by Adopting </w:t>
      </w:r>
      <w:r w:rsidR="00DC1E72">
        <w:rPr>
          <w:sz w:val="24"/>
          <w:szCs w:val="24"/>
        </w:rPr>
        <w:t xml:space="preserve">K-8 grade level and HS grade span </w:t>
      </w:r>
      <w:r w:rsidRPr="00DC1E72">
        <w:rPr>
          <w:sz w:val="24"/>
          <w:szCs w:val="24"/>
        </w:rPr>
        <w:t xml:space="preserve">Performance Expectations August </w:t>
      </w:r>
      <w:r w:rsidR="00DC1E72">
        <w:rPr>
          <w:sz w:val="24"/>
          <w:szCs w:val="24"/>
        </w:rPr>
        <w:t xml:space="preserve">6, </w:t>
      </w:r>
      <w:r w:rsidRPr="00DC1E72">
        <w:rPr>
          <w:sz w:val="24"/>
          <w:szCs w:val="24"/>
        </w:rPr>
        <w:t>2015</w:t>
      </w:r>
    </w:p>
    <w:p w:rsidR="00D551E8" w:rsidRDefault="00D551E8" w:rsidP="00D551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E72">
        <w:rPr>
          <w:sz w:val="24"/>
          <w:szCs w:val="24"/>
        </w:rPr>
        <w:t xml:space="preserve">Iowa </w:t>
      </w:r>
      <w:r w:rsidR="00E51EF5">
        <w:rPr>
          <w:sz w:val="24"/>
          <w:szCs w:val="24"/>
        </w:rPr>
        <w:t>DE has released a draft Iowa Science Standards Strategic Plan</w:t>
      </w:r>
      <w:r w:rsidR="00DC1E72">
        <w:rPr>
          <w:sz w:val="24"/>
          <w:szCs w:val="24"/>
        </w:rPr>
        <w:t>(time, PD, assessment, resources)</w:t>
      </w:r>
    </w:p>
    <w:p w:rsidR="00DC1E72" w:rsidRPr="00DC1E72" w:rsidRDefault="00DC1E72" w:rsidP="00D551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Iowa Core website will need to provide access to corresponding supporting documents for Iowa Science</w:t>
      </w:r>
    </w:p>
    <w:p w:rsidR="00D551E8" w:rsidRPr="00DC1E72" w:rsidRDefault="00D551E8" w:rsidP="00D551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E72">
        <w:rPr>
          <w:sz w:val="24"/>
          <w:szCs w:val="24"/>
        </w:rPr>
        <w:t>Iowa DE working on hiring a new Science Consultant</w:t>
      </w:r>
      <w:r w:rsidR="00DC1E72">
        <w:rPr>
          <w:sz w:val="24"/>
          <w:szCs w:val="24"/>
        </w:rPr>
        <w:t xml:space="preserve"> (early August was true)</w:t>
      </w:r>
    </w:p>
    <w:p w:rsidR="00DC1E72" w:rsidRDefault="00D551E8" w:rsidP="00D51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1E72">
        <w:rPr>
          <w:sz w:val="24"/>
          <w:szCs w:val="24"/>
        </w:rPr>
        <w:t xml:space="preserve">Iowa DE and AEA’s training </w:t>
      </w:r>
      <w:r w:rsidR="00DC1E72" w:rsidRPr="00DC1E72">
        <w:rPr>
          <w:sz w:val="24"/>
          <w:szCs w:val="24"/>
        </w:rPr>
        <w:t>(2 days</w:t>
      </w:r>
      <w:r w:rsidR="00DC1E72">
        <w:rPr>
          <w:sz w:val="24"/>
          <w:szCs w:val="24"/>
        </w:rPr>
        <w:t xml:space="preserve"> late September</w:t>
      </w:r>
      <w:r w:rsidR="00DC1E72" w:rsidRPr="00DC1E72">
        <w:rPr>
          <w:sz w:val="24"/>
          <w:szCs w:val="24"/>
        </w:rPr>
        <w:t xml:space="preserve">) </w:t>
      </w:r>
      <w:r w:rsidRPr="00DC1E72">
        <w:rPr>
          <w:sz w:val="24"/>
          <w:szCs w:val="24"/>
        </w:rPr>
        <w:t>each AEA</w:t>
      </w:r>
      <w:r w:rsidR="00DC1E72" w:rsidRPr="00DC1E72">
        <w:rPr>
          <w:sz w:val="24"/>
          <w:szCs w:val="24"/>
        </w:rPr>
        <w:t xml:space="preserve"> science consultant team plus two LEA teachers from each AEA</w:t>
      </w:r>
      <w:r w:rsidR="00CA76A9">
        <w:rPr>
          <w:sz w:val="24"/>
          <w:szCs w:val="24"/>
        </w:rPr>
        <w:t>. Basic workshop on how science is about engaging students in Practices, Crosscutting Concepts, and Disciplinary Core Ideas.</w:t>
      </w:r>
    </w:p>
    <w:p w:rsidR="00E51EF5" w:rsidRDefault="00E51EF5" w:rsidP="00D511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UI, Grandview, and Iowa DE holding Iowa Science Standards Kick-off Oct. 20, 2015. Administrators, curriculum directors, AEA consultants, teacher leaders, and professors will be invited. Event will be streamed live.</w:t>
      </w:r>
    </w:p>
    <w:p w:rsidR="00E51EF5" w:rsidRDefault="00E51EF5" w:rsidP="00D511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 15-17, 2016 Summer Symposium on Science Standards. </w:t>
      </w:r>
    </w:p>
    <w:p w:rsidR="00E51EF5" w:rsidRDefault="00E51EF5" w:rsidP="00D511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Iowa DE working with Achieve to offer webinars on special topics.</w:t>
      </w:r>
    </w:p>
    <w:p w:rsidR="00E51EF5" w:rsidRPr="00D51109" w:rsidRDefault="00E51EF5" w:rsidP="00D511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 implementation in 2018-19 in grades K-5 and HS. MS is grade 6 in 2018-19, grade 7 in 2019-2</w:t>
      </w:r>
      <w:bookmarkStart w:id="0" w:name="_GoBack"/>
      <w:bookmarkEnd w:id="0"/>
      <w:r>
        <w:rPr>
          <w:sz w:val="24"/>
          <w:szCs w:val="24"/>
        </w:rPr>
        <w:t xml:space="preserve">0, etc. </w:t>
      </w:r>
    </w:p>
    <w:p w:rsidR="00DC1E72" w:rsidRPr="00DC1E72" w:rsidRDefault="00DC1E72" w:rsidP="00DC1E72">
      <w:pPr>
        <w:jc w:val="center"/>
        <w:rPr>
          <w:b/>
          <w:sz w:val="24"/>
          <w:szCs w:val="24"/>
        </w:rPr>
      </w:pPr>
      <w:r w:rsidRPr="00DC1E72">
        <w:rPr>
          <w:b/>
          <w:sz w:val="24"/>
          <w:szCs w:val="24"/>
        </w:rPr>
        <w:t>Performance Expectations (PE’s)</w:t>
      </w:r>
    </w:p>
    <w:tbl>
      <w:tblPr>
        <w:tblStyle w:val="TableGrid"/>
        <w:tblW w:w="11088" w:type="dxa"/>
        <w:tblLook w:val="04A0"/>
      </w:tblPr>
      <w:tblGrid>
        <w:gridCol w:w="3672"/>
        <w:gridCol w:w="7416"/>
      </w:tblGrid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7416" w:type="dxa"/>
            <w:vMerge w:val="restart"/>
          </w:tcPr>
          <w:p w:rsidR="00C05C3F" w:rsidRPr="0074212E" w:rsidRDefault="00C05C3F" w:rsidP="00C05C3F">
            <w:pPr>
              <w:rPr>
                <w:sz w:val="52"/>
                <w:szCs w:val="52"/>
              </w:rPr>
            </w:pPr>
            <w:r w:rsidRPr="0074212E">
              <w:rPr>
                <w:sz w:val="52"/>
                <w:szCs w:val="52"/>
              </w:rPr>
              <w:t>Next Gene</w:t>
            </w:r>
            <w:r w:rsidR="00D551E8" w:rsidRPr="0074212E">
              <w:rPr>
                <w:sz w:val="52"/>
                <w:szCs w:val="52"/>
              </w:rPr>
              <w:t xml:space="preserve">ration Science Standards ‘13 </w:t>
            </w:r>
            <w:r w:rsidR="00D551E8" w:rsidRPr="0074212E">
              <w:rPr>
                <w:b/>
                <w:sz w:val="52"/>
                <w:szCs w:val="52"/>
              </w:rPr>
              <w:t>EQUALS</w:t>
            </w:r>
            <w:r w:rsidRPr="0074212E">
              <w:rPr>
                <w:b/>
                <w:sz w:val="52"/>
                <w:szCs w:val="52"/>
              </w:rPr>
              <w:t xml:space="preserve"> </w:t>
            </w:r>
            <w:r w:rsidR="00D551E8" w:rsidRPr="0074212E">
              <w:rPr>
                <w:sz w:val="52"/>
                <w:szCs w:val="52"/>
              </w:rPr>
              <w:t xml:space="preserve">the </w:t>
            </w:r>
            <w:hyperlink r:id="rId5" w:history="1">
              <w:r w:rsidR="00D551E8" w:rsidRPr="0074212E">
                <w:rPr>
                  <w:rStyle w:val="Hyperlink"/>
                  <w:sz w:val="52"/>
                  <w:szCs w:val="52"/>
                </w:rPr>
                <w:t>Iowa Core Science</w:t>
              </w:r>
            </w:hyperlink>
            <w:r w:rsidR="00D551E8" w:rsidRPr="0074212E">
              <w:rPr>
                <w:sz w:val="52"/>
                <w:szCs w:val="52"/>
              </w:rPr>
              <w:t xml:space="preserve"> </w:t>
            </w:r>
            <w:r w:rsidR="008B67C6" w:rsidRPr="0074212E">
              <w:rPr>
                <w:sz w:val="52"/>
                <w:szCs w:val="52"/>
              </w:rPr>
              <w:t>’</w:t>
            </w:r>
            <w:r w:rsidRPr="0074212E">
              <w:rPr>
                <w:sz w:val="52"/>
                <w:szCs w:val="52"/>
              </w:rPr>
              <w:t>15</w:t>
            </w: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First</w:t>
            </w:r>
          </w:p>
        </w:tc>
        <w:tc>
          <w:tcPr>
            <w:tcW w:w="7416" w:type="dxa"/>
            <w:vMerge/>
          </w:tcPr>
          <w:p w:rsidR="00C05C3F" w:rsidRPr="00D551E8" w:rsidRDefault="00C05C3F" w:rsidP="00C05C3F">
            <w:pPr>
              <w:rPr>
                <w:sz w:val="28"/>
                <w:szCs w:val="28"/>
              </w:rPr>
            </w:pP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Second</w:t>
            </w:r>
          </w:p>
        </w:tc>
        <w:tc>
          <w:tcPr>
            <w:tcW w:w="7416" w:type="dxa"/>
            <w:vMerge/>
          </w:tcPr>
          <w:p w:rsidR="00C05C3F" w:rsidRPr="00D551E8" w:rsidRDefault="00C05C3F" w:rsidP="00C05C3F">
            <w:pPr>
              <w:rPr>
                <w:sz w:val="28"/>
                <w:szCs w:val="28"/>
              </w:rPr>
            </w:pP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Third</w:t>
            </w:r>
          </w:p>
        </w:tc>
        <w:tc>
          <w:tcPr>
            <w:tcW w:w="7416" w:type="dxa"/>
            <w:vMerge/>
          </w:tcPr>
          <w:p w:rsidR="00C05C3F" w:rsidRPr="00D551E8" w:rsidRDefault="00C05C3F" w:rsidP="00C05C3F">
            <w:pPr>
              <w:rPr>
                <w:sz w:val="28"/>
                <w:szCs w:val="28"/>
              </w:rPr>
            </w:pP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Fourth</w:t>
            </w:r>
          </w:p>
        </w:tc>
        <w:tc>
          <w:tcPr>
            <w:tcW w:w="7416" w:type="dxa"/>
            <w:vMerge/>
          </w:tcPr>
          <w:p w:rsidR="00C05C3F" w:rsidRPr="00D551E8" w:rsidRDefault="00C05C3F" w:rsidP="00C05C3F">
            <w:pPr>
              <w:rPr>
                <w:sz w:val="28"/>
                <w:szCs w:val="28"/>
              </w:rPr>
            </w:pP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Fifth</w:t>
            </w:r>
          </w:p>
        </w:tc>
        <w:tc>
          <w:tcPr>
            <w:tcW w:w="7416" w:type="dxa"/>
            <w:vMerge/>
          </w:tcPr>
          <w:p w:rsidR="00C05C3F" w:rsidRPr="00D551E8" w:rsidRDefault="00C05C3F" w:rsidP="00C05C3F">
            <w:pPr>
              <w:rPr>
                <w:sz w:val="28"/>
                <w:szCs w:val="28"/>
              </w:rPr>
            </w:pP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High School Grade Span</w:t>
            </w:r>
          </w:p>
        </w:tc>
        <w:tc>
          <w:tcPr>
            <w:tcW w:w="7416" w:type="dxa"/>
            <w:vMerge/>
          </w:tcPr>
          <w:p w:rsidR="00C05C3F" w:rsidRPr="00D551E8" w:rsidRDefault="00C05C3F" w:rsidP="00C05C3F">
            <w:pPr>
              <w:rPr>
                <w:sz w:val="28"/>
                <w:szCs w:val="28"/>
              </w:rPr>
            </w:pPr>
          </w:p>
        </w:tc>
      </w:tr>
      <w:tr w:rsidR="00C05C3F" w:rsidTr="00D551E8">
        <w:tc>
          <w:tcPr>
            <w:tcW w:w="3672" w:type="dxa"/>
          </w:tcPr>
          <w:p w:rsidR="00C05C3F" w:rsidRPr="00D551E8" w:rsidRDefault="00C05C3F" w:rsidP="00C05C3F">
            <w:pPr>
              <w:rPr>
                <w:b/>
                <w:sz w:val="28"/>
                <w:szCs w:val="28"/>
              </w:rPr>
            </w:pPr>
            <w:r w:rsidRPr="00D551E8">
              <w:rPr>
                <w:b/>
                <w:sz w:val="28"/>
                <w:szCs w:val="28"/>
              </w:rPr>
              <w:t>M</w:t>
            </w:r>
            <w:r w:rsidR="00D551E8">
              <w:rPr>
                <w:b/>
                <w:sz w:val="28"/>
                <w:szCs w:val="28"/>
              </w:rPr>
              <w:t xml:space="preserve">iddle </w:t>
            </w:r>
            <w:r w:rsidRPr="00D551E8">
              <w:rPr>
                <w:b/>
                <w:sz w:val="28"/>
                <w:szCs w:val="28"/>
              </w:rPr>
              <w:t>S</w:t>
            </w:r>
            <w:r w:rsidR="00D551E8">
              <w:rPr>
                <w:b/>
                <w:sz w:val="28"/>
                <w:szCs w:val="28"/>
              </w:rPr>
              <w:t>chool</w:t>
            </w:r>
          </w:p>
        </w:tc>
        <w:tc>
          <w:tcPr>
            <w:tcW w:w="7416" w:type="dxa"/>
          </w:tcPr>
          <w:p w:rsidR="00D51109" w:rsidRPr="008B67C6" w:rsidRDefault="00C05C3F" w:rsidP="008B67C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67C6">
              <w:rPr>
                <w:sz w:val="28"/>
                <w:szCs w:val="28"/>
              </w:rPr>
              <w:t xml:space="preserve">Committee </w:t>
            </w:r>
            <w:r w:rsidR="00D51109" w:rsidRPr="008B67C6">
              <w:rPr>
                <w:sz w:val="28"/>
                <w:szCs w:val="28"/>
              </w:rPr>
              <w:t xml:space="preserve">had options to go with MS grade span or grade- specific. Went with grade specific. </w:t>
            </w:r>
          </w:p>
          <w:p w:rsidR="00D51109" w:rsidRPr="008B67C6" w:rsidRDefault="00D51109" w:rsidP="008B67C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67C6">
              <w:rPr>
                <w:sz w:val="28"/>
                <w:szCs w:val="28"/>
              </w:rPr>
              <w:t xml:space="preserve">Once decision was made to go grade specific than consulted option </w:t>
            </w:r>
            <w:r w:rsidR="00D551E8" w:rsidRPr="008B67C6">
              <w:rPr>
                <w:sz w:val="28"/>
                <w:szCs w:val="28"/>
              </w:rPr>
              <w:t>NGSS A</w:t>
            </w:r>
            <w:r w:rsidR="00C05C3F" w:rsidRPr="008B67C6">
              <w:rPr>
                <w:sz w:val="28"/>
                <w:szCs w:val="28"/>
              </w:rPr>
              <w:t>ppendix K</w:t>
            </w:r>
            <w:r w:rsidR="008B67C6">
              <w:rPr>
                <w:sz w:val="28"/>
                <w:szCs w:val="28"/>
              </w:rPr>
              <w:t xml:space="preserve"> for guidance</w:t>
            </w:r>
            <w:r w:rsidR="00C05C3F" w:rsidRPr="008B67C6">
              <w:rPr>
                <w:sz w:val="28"/>
                <w:szCs w:val="28"/>
              </w:rPr>
              <w:t>. Did not go with the CA integrated example</w:t>
            </w:r>
            <w:r w:rsidRPr="008B67C6">
              <w:rPr>
                <w:sz w:val="28"/>
                <w:szCs w:val="28"/>
              </w:rPr>
              <w:t xml:space="preserve"> or Course Map II</w:t>
            </w:r>
            <w:r w:rsidR="00C05C3F" w:rsidRPr="008B67C6">
              <w:rPr>
                <w:sz w:val="28"/>
                <w:szCs w:val="28"/>
              </w:rPr>
              <w:t xml:space="preserve"> in Appendix K</w:t>
            </w:r>
            <w:r w:rsidRPr="008B67C6">
              <w:rPr>
                <w:sz w:val="28"/>
                <w:szCs w:val="28"/>
              </w:rPr>
              <w:t xml:space="preserve">. Final PE’s in Iowa reflect a </w:t>
            </w:r>
            <w:r w:rsidR="00DC1E72" w:rsidRPr="008B67C6">
              <w:rPr>
                <w:sz w:val="28"/>
                <w:szCs w:val="28"/>
              </w:rPr>
              <w:t>changed Course Map</w:t>
            </w:r>
            <w:r w:rsidRPr="008B67C6">
              <w:rPr>
                <w:sz w:val="28"/>
                <w:szCs w:val="28"/>
              </w:rPr>
              <w:t xml:space="preserve"> 1 to fit Iowa due to committee analysis of</w:t>
            </w:r>
            <w:r w:rsidR="00C05C3F" w:rsidRPr="008B67C6">
              <w:rPr>
                <w:sz w:val="28"/>
                <w:szCs w:val="28"/>
              </w:rPr>
              <w:t xml:space="preserve"> the curricular load by grade, alignment to </w:t>
            </w:r>
            <w:r w:rsidR="00DC1E72" w:rsidRPr="008B67C6">
              <w:rPr>
                <w:sz w:val="28"/>
                <w:szCs w:val="28"/>
              </w:rPr>
              <w:t xml:space="preserve">math standards, practices, cross-cutting themes and </w:t>
            </w:r>
            <w:r w:rsidR="00DC1E72" w:rsidRPr="008B67C6">
              <w:rPr>
                <w:i/>
                <w:sz w:val="28"/>
                <w:szCs w:val="28"/>
              </w:rPr>
              <w:t>Bloom’s Revised</w:t>
            </w:r>
            <w:r w:rsidR="00DC1E72" w:rsidRPr="008B67C6">
              <w:rPr>
                <w:sz w:val="28"/>
                <w:szCs w:val="28"/>
              </w:rPr>
              <w:t>.</w:t>
            </w:r>
            <w:r w:rsidRPr="008B67C6">
              <w:rPr>
                <w:sz w:val="28"/>
                <w:szCs w:val="28"/>
              </w:rPr>
              <w:t xml:space="preserve"> Achieve.org facilitated this discussion.</w:t>
            </w:r>
            <w:r w:rsidR="008B67C6">
              <w:rPr>
                <w:sz w:val="28"/>
                <w:szCs w:val="28"/>
              </w:rPr>
              <w:t xml:space="preserve"> </w:t>
            </w:r>
            <w:r w:rsidRPr="008B67C6">
              <w:rPr>
                <w:sz w:val="28"/>
                <w:szCs w:val="28"/>
              </w:rPr>
              <w:t xml:space="preserve">For full explanation of the process look at pages 21-32 of the </w:t>
            </w:r>
            <w:hyperlink r:id="rId6" w:history="1">
              <w:r w:rsidRPr="008B67C6">
                <w:rPr>
                  <w:rStyle w:val="Hyperlink"/>
                  <w:sz w:val="28"/>
                  <w:szCs w:val="28"/>
                </w:rPr>
                <w:t>Science Standards Review Team Report 2015.</w:t>
              </w:r>
            </w:hyperlink>
          </w:p>
        </w:tc>
      </w:tr>
    </w:tbl>
    <w:p w:rsidR="00C05C3F" w:rsidRDefault="00C05C3F" w:rsidP="00C05C3F"/>
    <w:p w:rsidR="00C05C3F" w:rsidRDefault="00C05C3F"/>
    <w:p w:rsidR="00C05C3F" w:rsidRDefault="00C05C3F">
      <w:r>
        <w:br w:type="page"/>
      </w:r>
    </w:p>
    <w:p w:rsidR="00480494" w:rsidRDefault="00E0390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31.15pt;margin-top:82.1pt;width:122.55pt;height:24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" fillcolor="white [3201]" strokeweight=".5pt">
            <v:textbox>
              <w:txbxContent>
                <w:p w:rsidR="00D551E8" w:rsidRDefault="00D551E8" w:rsidP="004A7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Committee: </w:t>
                  </w:r>
                </w:p>
                <w:p w:rsidR="004A73E4" w:rsidRPr="00D551E8" w:rsidRDefault="004A73E4" w:rsidP="00D551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51E8">
                    <w:rPr>
                      <w:sz w:val="28"/>
                      <w:szCs w:val="28"/>
                    </w:rPr>
                    <w:t xml:space="preserve">All </w:t>
                  </w:r>
                  <w:r w:rsidR="00D551E8" w:rsidRPr="00D551E8">
                    <w:rPr>
                      <w:sz w:val="28"/>
                      <w:szCs w:val="28"/>
                    </w:rPr>
                    <w:t xml:space="preserve">MS </w:t>
                  </w:r>
                  <w:r w:rsidRPr="00D551E8">
                    <w:rPr>
                      <w:sz w:val="28"/>
                      <w:szCs w:val="28"/>
                    </w:rPr>
                    <w:t>course</w:t>
                  </w:r>
                  <w:r w:rsidR="00D551E8" w:rsidRPr="00D551E8">
                    <w:rPr>
                      <w:sz w:val="28"/>
                      <w:szCs w:val="28"/>
                    </w:rPr>
                    <w:t>s</w:t>
                  </w:r>
                  <w:r w:rsidRPr="00D551E8">
                    <w:rPr>
                      <w:sz w:val="28"/>
                      <w:szCs w:val="28"/>
                    </w:rPr>
                    <w:t xml:space="preserve"> of studies begin </w:t>
                  </w:r>
                  <w:r w:rsidR="00D551E8" w:rsidRPr="00D551E8">
                    <w:rPr>
                      <w:sz w:val="28"/>
                      <w:szCs w:val="28"/>
                    </w:rPr>
                    <w:t xml:space="preserve">year </w:t>
                  </w:r>
                  <w:r w:rsidR="00DC1E72">
                    <w:rPr>
                      <w:sz w:val="28"/>
                      <w:szCs w:val="28"/>
                    </w:rPr>
                    <w:t>with Physics.</w:t>
                  </w:r>
                </w:p>
                <w:p w:rsidR="004A73E4" w:rsidRPr="00D551E8" w:rsidRDefault="004A73E4" w:rsidP="00D551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51E8">
                    <w:rPr>
                      <w:sz w:val="28"/>
                      <w:szCs w:val="28"/>
                    </w:rPr>
                    <w:t>Grade 8 end with Earth Science as a capstone experience.</w:t>
                  </w:r>
                </w:p>
                <w:p w:rsidR="004A73E4" w:rsidRDefault="004A73E4" w:rsidP="004A73E4">
                  <w:pPr>
                    <w:rPr>
                      <w:sz w:val="28"/>
                      <w:szCs w:val="28"/>
                    </w:rPr>
                  </w:pPr>
                </w:p>
                <w:p w:rsidR="004A73E4" w:rsidRPr="004A73E4" w:rsidRDefault="004A73E4" w:rsidP="004A73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15.65pt;margin-top:568.85pt;width:150.8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" fillcolor="white [3201]" strokeweight=".5pt">
            <v:textbox>
              <w:txbxContent>
                <w:p w:rsidR="004A73E4" w:rsidRPr="004A73E4" w:rsidRDefault="004A73E4">
                  <w:pPr>
                    <w:rPr>
                      <w:sz w:val="36"/>
                      <w:szCs w:val="36"/>
                    </w:rPr>
                  </w:pPr>
                  <w:r w:rsidRPr="004A73E4">
                    <w:rPr>
                      <w:sz w:val="36"/>
                      <w:szCs w:val="36"/>
                    </w:rPr>
                    <w:t>Integrate not stand alone units</w:t>
                  </w:r>
                </w:p>
              </w:txbxContent>
            </v:textbox>
          </v:shape>
        </w:pict>
      </w:r>
      <w:r w:rsidR="004A73E4">
        <w:rPr>
          <w:noProof/>
        </w:rPr>
        <w:drawing>
          <wp:inline distT="0" distB="0" distL="0" distR="0">
            <wp:extent cx="6096000" cy="82468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698" cy="824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494" w:rsidSect="004A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777"/>
    <w:multiLevelType w:val="hybridMultilevel"/>
    <w:tmpl w:val="627A6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57D83"/>
    <w:multiLevelType w:val="hybridMultilevel"/>
    <w:tmpl w:val="A13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71E"/>
    <w:multiLevelType w:val="hybridMultilevel"/>
    <w:tmpl w:val="B09C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A73E4"/>
    <w:rsid w:val="000F707D"/>
    <w:rsid w:val="00480494"/>
    <w:rsid w:val="004A73E4"/>
    <w:rsid w:val="0074212E"/>
    <w:rsid w:val="00862875"/>
    <w:rsid w:val="008B67C6"/>
    <w:rsid w:val="00C05C3F"/>
    <w:rsid w:val="00CA76A9"/>
    <w:rsid w:val="00D51109"/>
    <w:rsid w:val="00D551E8"/>
    <w:rsid w:val="00DC1E72"/>
    <w:rsid w:val="00E03906"/>
    <w:rsid w:val="00E5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eiowa.gov/documents/boards-committees-councils-and-task-forces/2015/08/2015-08-06-iowa-core-science-standards" TargetMode="External"/><Relationship Id="rId5" Type="http://schemas.openxmlformats.org/officeDocument/2006/relationships/hyperlink" Target="https://iowacore.gov/content/iowa-core-scien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1854</Characters>
  <Application>Microsoft Office Word</Application>
  <DocSecurity>0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kelly</cp:lastModifiedBy>
  <cp:revision>2</cp:revision>
  <dcterms:created xsi:type="dcterms:W3CDTF">2015-09-22T11:24:00Z</dcterms:created>
  <dcterms:modified xsi:type="dcterms:W3CDTF">2015-09-22T11:24:00Z</dcterms:modified>
</cp:coreProperties>
</file>