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spacing w:lineRule="auto" w:line="240"/>
        <w:contextualSpacing w:val="0"/>
        <w:jc w:val="center"/>
      </w:pPr>
      <w:r w:rsidRPr="00000000" w:rsidR="00000000" w:rsidDel="00000000">
        <w:rPr>
          <w:rFonts w:cs="Times New Roman" w:hAnsi="Times New Roman" w:eastAsia="Times New Roman" w:ascii="Times New Roman"/>
          <w:b w:val="1"/>
          <w:sz w:val="32"/>
          <w:rtl w:val="0"/>
        </w:rPr>
        <w:t xml:space="preserve"> El Distrito Escolar Unificado de Milpitas</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-114297</wp:posOffset>
            </wp:positionH>
            <wp:positionV relativeFrom="paragraph">
              <wp:posOffset>0</wp:posOffset>
            </wp:positionV>
            <wp:extent cy="1128395" cx="1624965"/>
            <wp:effectExtent t="0" b="0" r="0" l="0"/>
            <wp:wrapSquare distR="114300" distT="0" distB="0" wrapText="bothSides" distL="11430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1128395" cx="1624965"/>
                    </a:xfrm>
                    <a:prstGeom prst="rect"/>
                    <a:ln/>
                  </pic:spPr>
                </pic:pic>
              </a:graphicData>
            </a:graphic>
          </wp:anchor>
        </w:drawing>
      </w:r>
    </w:p>
    <w:p w:rsidP="00000000" w:rsidRPr="00000000" w:rsidR="00000000" w:rsidDel="00000000" w:rsidRDefault="00000000">
      <w:pPr>
        <w:pStyle w:val="Heading1"/>
        <w:spacing w:lineRule="auto" w:line="240"/>
        <w:contextualSpacing w:val="0"/>
        <w:jc w:val="center"/>
      </w:pPr>
      <w:r w:rsidRPr="00000000" w:rsidR="00000000" w:rsidDel="00000000">
        <w:rPr>
          <w:rFonts w:cs="Times New Roman" w:hAnsi="Times New Roman" w:eastAsia="Times New Roman" w:ascii="Times New Roman"/>
          <w:b w:val="1"/>
          <w:sz w:val="28"/>
          <w:rtl w:val="0"/>
        </w:rPr>
        <w:t xml:space="preserve">Una guía para entender las calificaciones de 2014-</w:t>
      </w:r>
      <w:r w:rsidRPr="00000000" w:rsidR="00000000" w:rsidDel="00000000">
        <w:rPr>
          <w:rtl w:val="0"/>
        </w:rPr>
      </w:r>
    </w:p>
    <w:p w:rsidP="00000000" w:rsidRPr="00000000" w:rsidR="00000000" w:rsidDel="00000000" w:rsidRDefault="00000000">
      <w:pPr>
        <w:pStyle w:val="Heading1"/>
        <w:spacing w:lineRule="auto" w:line="240"/>
        <w:contextualSpacing w:val="0"/>
        <w:jc w:val="center"/>
      </w:pPr>
      <w:r w:rsidRPr="00000000" w:rsidR="00000000" w:rsidDel="00000000">
        <w:rPr>
          <w:rFonts w:cs="Times New Roman" w:hAnsi="Times New Roman" w:eastAsia="Times New Roman" w:ascii="Times New Roman"/>
          <w:b w:val="1"/>
          <w:sz w:val="28"/>
          <w:rtl w:val="0"/>
        </w:rPr>
        <w:t xml:space="preserve">MUSD Calificaciones primarias CCSS </w:t>
      </w: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1"/>
          <w:color w:val="000000"/>
          <w:sz w:val="22"/>
          <w:rtl w:val="0"/>
        </w:rPr>
        <w:t xml:space="preserve">Propósito:</w:t>
      </w: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Al adoptar e implementar los estándares “Common Core”(CCSS), El Distrito Escolar Unificado de Milpitas (MUSD) sigue revisando el proceso de entrega de calificaciones de las escuelas primarias. Este año, MUSD implementa el sistema electrónico revisado de sus </w:t>
      </w:r>
      <w:r w:rsidRPr="00000000" w:rsidR="00000000" w:rsidDel="00000000">
        <w:rPr>
          <w:rFonts w:cs="Arial" w:hAnsi="Arial" w:eastAsia="Arial" w:ascii="Arial"/>
          <w:b w:val="1"/>
          <w:color w:val="000000"/>
          <w:sz w:val="22"/>
          <w:u w:val="single"/>
          <w:rtl w:val="0"/>
        </w:rPr>
        <w:t xml:space="preserve">Calificaciones Common Core </w:t>
      </w:r>
      <w:r w:rsidRPr="00000000" w:rsidR="00000000" w:rsidDel="00000000">
        <w:rPr>
          <w:rFonts w:cs="Arial" w:hAnsi="Arial" w:eastAsia="Arial" w:ascii="Arial"/>
          <w:b w:val="0"/>
          <w:color w:val="000000"/>
          <w:sz w:val="22"/>
          <w:rtl w:val="0"/>
        </w:rPr>
        <w:t xml:space="preserve">de TK a 6</w:t>
      </w:r>
      <w:r w:rsidRPr="00000000" w:rsidR="00000000" w:rsidDel="00000000">
        <w:rPr>
          <w:rFonts w:cs="Arial" w:hAnsi="Arial" w:eastAsia="Arial" w:ascii="Arial"/>
          <w:b w:val="0"/>
          <w:color w:val="000000"/>
          <w:sz w:val="22"/>
          <w:vertAlign w:val="superscript"/>
          <w:rtl w:val="0"/>
        </w:rPr>
        <w:t xml:space="preserve">o </w:t>
      </w:r>
      <w:r w:rsidRPr="00000000" w:rsidR="00000000" w:rsidDel="00000000">
        <w:rPr>
          <w:rFonts w:cs="Arial" w:hAnsi="Arial" w:eastAsia="Arial" w:ascii="Arial"/>
          <w:b w:val="0"/>
          <w:color w:val="000000"/>
          <w:sz w:val="22"/>
          <w:rtl w:val="0"/>
        </w:rPr>
        <w:t xml:space="preserve">grados el cual se alinea con los estándares del estado.  Seguiremos reportando cada trimestre en noviembre, marzo y junio.</w:t>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La revisión del sistema de calificación refleja los siguientes cambios:  </w:t>
      </w:r>
    </w:p>
    <w:p w:rsidP="00000000" w:rsidRPr="00000000" w:rsidR="00000000" w:rsidDel="00000000" w:rsidRDefault="00000000">
      <w:pPr>
        <w:numPr>
          <w:ilvl w:val="0"/>
          <w:numId w:val="7"/>
        </w:numPr>
        <w:spacing w:lineRule="auto" w:after="0" w:line="276" w:before="0"/>
        <w:ind w:left="720" w:hanging="358"/>
        <w:contextualSpacing w:val="1"/>
        <w:jc w:val="both"/>
        <w:rPr>
          <w:rFonts w:cs="Arial" w:hAnsi="Arial" w:eastAsia="Arial" w:ascii="Arial"/>
          <w:b w:val="1"/>
          <w:color w:val="000000"/>
          <w:sz w:val="22"/>
        </w:rPr>
      </w:pPr>
      <w:r w:rsidRPr="00000000" w:rsidR="00000000" w:rsidDel="00000000">
        <w:rPr>
          <w:rFonts w:cs="Arial" w:hAnsi="Arial" w:eastAsia="Arial" w:ascii="Arial"/>
          <w:b w:val="1"/>
          <w:color w:val="000000"/>
          <w:sz w:val="22"/>
          <w:rtl w:val="0"/>
        </w:rPr>
        <w:t xml:space="preserve">Estándares de contenido académico:</w:t>
      </w:r>
    </w:p>
    <w:p w:rsidP="00000000" w:rsidRPr="00000000" w:rsidR="00000000" w:rsidDel="00000000" w:rsidRDefault="00000000">
      <w:pPr>
        <w:spacing w:lineRule="auto" w:after="0" w:line="276" w:before="0"/>
        <w:ind w:left="720" w:firstLine="720"/>
        <w:contextualSpacing w:val="0"/>
        <w:jc w:val="both"/>
      </w:pPr>
      <w:r w:rsidRPr="00000000" w:rsidR="00000000" w:rsidDel="00000000">
        <w:rPr>
          <w:rFonts w:cs="Arial" w:hAnsi="Arial" w:eastAsia="Arial" w:ascii="Arial"/>
          <w:b w:val="1"/>
          <w:i w:val="1"/>
          <w:color w:val="000000"/>
          <w:sz w:val="20"/>
          <w:rtl w:val="0"/>
        </w:rPr>
        <w:t xml:space="preserve">(4) Conocimiento completo &gt;</w:t>
      </w:r>
      <w:r w:rsidRPr="00000000" w:rsidR="00000000" w:rsidDel="00000000">
        <w:rPr>
          <w:rFonts w:cs="Arial" w:hAnsi="Arial" w:eastAsia="Arial" w:ascii="Arial"/>
          <w:b w:val="0"/>
          <w:i w:val="1"/>
          <w:color w:val="000000"/>
          <w:sz w:val="20"/>
          <w:rtl w:val="0"/>
        </w:rPr>
        <w:t xml:space="preserve">anteriormente </w:t>
      </w:r>
      <w:r w:rsidRPr="00000000" w:rsidR="00000000" w:rsidDel="00000000">
        <w:rPr>
          <w:rFonts w:cs="Arial" w:hAnsi="Arial" w:eastAsia="Arial" w:ascii="Arial"/>
          <w:b w:val="1"/>
          <w:i w:val="1"/>
          <w:color w:val="000000"/>
          <w:sz w:val="20"/>
          <w:rtl w:val="0"/>
        </w:rPr>
        <w:t xml:space="preserve">Sobrepasando el estándar</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pPr>
      <w:r w:rsidRPr="00000000" w:rsidR="00000000" w:rsidDel="00000000">
        <w:rPr>
          <w:rFonts w:cs="Arial" w:hAnsi="Arial" w:eastAsia="Arial" w:ascii="Arial"/>
          <w:b w:val="1"/>
          <w:i w:val="1"/>
          <w:color w:val="000000"/>
          <w:sz w:val="20"/>
          <w:rtl w:val="0"/>
        </w:rPr>
        <w:t xml:space="preserve">(3) Conocimiento adecuado &gt;</w:t>
      </w:r>
      <w:r w:rsidRPr="00000000" w:rsidR="00000000" w:rsidDel="00000000">
        <w:rPr>
          <w:rFonts w:cs="Arial" w:hAnsi="Arial" w:eastAsia="Arial" w:ascii="Arial"/>
          <w:b w:val="0"/>
          <w:i w:val="1"/>
          <w:color w:val="000000"/>
          <w:sz w:val="20"/>
          <w:rtl w:val="0"/>
        </w:rPr>
        <w:t xml:space="preserve">anteriormente ∫</w:t>
      </w:r>
      <w:r w:rsidRPr="00000000" w:rsidR="00000000" w:rsidDel="00000000">
        <w:rPr>
          <w:rFonts w:cs="Arial" w:hAnsi="Arial" w:eastAsia="Arial" w:ascii="Arial"/>
          <w:b w:val="1"/>
          <w:i w:val="1"/>
          <w:color w:val="000000"/>
          <w:sz w:val="20"/>
          <w:rtl w:val="0"/>
        </w:rPr>
        <w:t xml:space="preserve">Dominio del estándar</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jc w:val="both"/>
      </w:pPr>
      <w:r w:rsidRPr="00000000" w:rsidR="00000000" w:rsidDel="00000000">
        <w:rPr>
          <w:rFonts w:cs="Arial" w:hAnsi="Arial" w:eastAsia="Arial" w:ascii="Arial"/>
          <w:b w:val="1"/>
          <w:i w:val="1"/>
          <w:color w:val="000000"/>
          <w:sz w:val="20"/>
          <w:rtl w:val="0"/>
        </w:rPr>
        <w:t xml:space="preserve">(2) Conocimiento parcial &gt;</w:t>
      </w:r>
      <w:r w:rsidRPr="00000000" w:rsidR="00000000" w:rsidDel="00000000">
        <w:rPr>
          <w:rFonts w:cs="Arial" w:hAnsi="Arial" w:eastAsia="Arial" w:ascii="Arial"/>
          <w:b w:val="0"/>
          <w:i w:val="1"/>
          <w:color w:val="000000"/>
          <w:sz w:val="20"/>
          <w:rtl w:val="0"/>
        </w:rPr>
        <w:t xml:space="preserve">anteriormente </w:t>
      </w:r>
      <w:r w:rsidRPr="00000000" w:rsidR="00000000" w:rsidDel="00000000">
        <w:rPr>
          <w:rFonts w:cs="Arial" w:hAnsi="Arial" w:eastAsia="Arial" w:ascii="Arial"/>
          <w:b w:val="1"/>
          <w:i w:val="1"/>
          <w:color w:val="000000"/>
          <w:sz w:val="20"/>
          <w:rtl w:val="0"/>
        </w:rPr>
        <w:t xml:space="preserve">Rendimiento esperado </w:t>
      </w:r>
    </w:p>
    <w:p w:rsidP="00000000" w:rsidRPr="00000000" w:rsidR="00000000" w:rsidDel="00000000" w:rsidRDefault="00000000">
      <w:pPr>
        <w:spacing w:lineRule="auto" w:after="0" w:line="276" w:before="0"/>
        <w:ind w:left="720" w:firstLine="720"/>
        <w:contextualSpacing w:val="0"/>
        <w:jc w:val="both"/>
      </w:pPr>
      <w:r w:rsidRPr="00000000" w:rsidR="00000000" w:rsidDel="00000000">
        <w:rPr>
          <w:rFonts w:cs="Arial" w:hAnsi="Arial" w:eastAsia="Arial" w:ascii="Arial"/>
          <w:b w:val="1"/>
          <w:i w:val="1"/>
          <w:color w:val="000000"/>
          <w:sz w:val="20"/>
          <w:rtl w:val="0"/>
        </w:rPr>
        <w:t xml:space="preserve">(1) Conocimiento mínimo &gt;</w:t>
      </w:r>
      <w:r w:rsidRPr="00000000" w:rsidR="00000000" w:rsidDel="00000000">
        <w:rPr>
          <w:rFonts w:cs="Arial" w:hAnsi="Arial" w:eastAsia="Arial" w:ascii="Arial"/>
          <w:b w:val="0"/>
          <w:i w:val="1"/>
          <w:color w:val="000000"/>
          <w:sz w:val="20"/>
          <w:rtl w:val="0"/>
        </w:rPr>
        <w:t xml:space="preserve">anteriormente</w:t>
      </w:r>
      <w:r w:rsidRPr="00000000" w:rsidR="00000000" w:rsidDel="00000000">
        <w:rPr>
          <w:rFonts w:cs="Arial" w:hAnsi="Arial" w:eastAsia="Arial" w:ascii="Arial"/>
          <w:b w:val="1"/>
          <w:i w:val="1"/>
          <w:color w:val="000000"/>
          <w:sz w:val="20"/>
          <w:rtl w:val="0"/>
        </w:rPr>
        <w:t xml:space="preserve"> Área preocupante</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jc w:val="both"/>
      </w:pPr>
      <w:r w:rsidRPr="00000000" w:rsidR="00000000" w:rsidDel="00000000">
        <w:rPr>
          <w:rFonts w:cs="Arial" w:hAnsi="Arial" w:eastAsia="Arial" w:ascii="Arial"/>
          <w:b w:val="1"/>
          <w:i w:val="1"/>
          <w:color w:val="000000"/>
          <w:sz w:val="20"/>
          <w:rtl w:val="0"/>
        </w:rPr>
        <w:t xml:space="preserve">N/A No Aplica  &gt;</w:t>
      </w:r>
      <w:r w:rsidRPr="00000000" w:rsidR="00000000" w:rsidDel="00000000">
        <w:rPr>
          <w:rFonts w:cs="Arial" w:hAnsi="Arial" w:eastAsia="Arial" w:ascii="Arial"/>
          <w:b w:val="0"/>
          <w:i w:val="1"/>
          <w:color w:val="000000"/>
          <w:sz w:val="20"/>
          <w:rtl w:val="0"/>
        </w:rPr>
        <w:t xml:space="preserve">sigue igual</w:t>
      </w:r>
      <w:r w:rsidRPr="00000000" w:rsidR="00000000" w:rsidDel="00000000">
        <w:rPr>
          <w:rFonts w:cs="Cambria" w:hAnsi="Cambria" w:eastAsia="Cambria" w:ascii="Cambria"/>
          <w:b w:val="0"/>
          <w:i w:val="1"/>
          <w:color w:val="000000"/>
          <w:sz w:val="20"/>
          <w:rtl w:val="0"/>
        </w:rPr>
        <w:t xml:space="preserve"> </w:t>
      </w:r>
      <w:r w:rsidRPr="00000000" w:rsidR="00000000" w:rsidDel="00000000">
        <w:rPr>
          <w:rtl w:val="0"/>
        </w:rPr>
      </w:r>
    </w:p>
    <w:p w:rsidP="00000000" w:rsidRPr="00000000" w:rsidR="00000000" w:rsidDel="00000000" w:rsidRDefault="00000000">
      <w:pPr>
        <w:spacing w:lineRule="auto" w:after="0" w:line="276" w:before="0"/>
        <w:ind w:left="720" w:firstLine="72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La profundidad o nivel de conocimientos de cada grado de “Common Core” se compara con el </w:t>
      </w:r>
      <w:r w:rsidRPr="00000000" w:rsidR="00000000" w:rsidDel="00000000">
        <w:rPr>
          <w:rFonts w:cs="Arial" w:hAnsi="Arial" w:eastAsia="Arial" w:ascii="Arial"/>
          <w:b w:val="1"/>
          <w:color w:val="000000"/>
          <w:sz w:val="22"/>
          <w:rtl w:val="0"/>
        </w:rPr>
        <w:t xml:space="preserve">nivel de dominio esperado a fin de curso </w:t>
      </w:r>
      <w:r w:rsidRPr="00000000" w:rsidR="00000000" w:rsidDel="00000000">
        <w:rPr>
          <w:rFonts w:cs="Arial" w:hAnsi="Arial" w:eastAsia="Arial" w:ascii="Arial"/>
          <w:b w:val="0"/>
          <w:color w:val="000000"/>
          <w:sz w:val="22"/>
          <w:rtl w:val="0"/>
        </w:rPr>
        <w:t xml:space="preserve">mas no con el de cada trimestre.  </w:t>
      </w:r>
    </w:p>
    <w:p w:rsidP="00000000" w:rsidRPr="00000000" w:rsidR="00000000" w:rsidDel="00000000" w:rsidRDefault="00000000">
      <w:pPr>
        <w:spacing w:lineRule="auto" w:after="0" w:line="276" w:before="0"/>
        <w:ind w:firstLine="720"/>
        <w:contextualSpacing w:val="0"/>
        <w:jc w:val="both"/>
      </w:pPr>
      <w:r w:rsidRPr="00000000" w:rsidR="00000000" w:rsidDel="00000000">
        <w:rPr>
          <w:rFonts w:cs="Arial" w:hAnsi="Arial" w:eastAsia="Arial" w:ascii="Arial"/>
          <w:b w:val="1"/>
          <w:i w:val="1"/>
          <w:color w:val="000000"/>
          <w:sz w:val="20"/>
          <w:rtl w:val="0"/>
        </w:rPr>
        <w:t xml:space="preserve">Esto significa que...</w:t>
      </w:r>
      <w:r w:rsidRPr="00000000" w:rsidR="00000000" w:rsidDel="00000000">
        <w:rPr>
          <w:rtl w:val="0"/>
        </w:rPr>
      </w:r>
    </w:p>
    <w:p w:rsidP="00000000" w:rsidRPr="00000000" w:rsidR="00000000" w:rsidDel="00000000" w:rsidRDefault="00000000">
      <w:pPr>
        <w:numPr>
          <w:ilvl w:val="0"/>
          <w:numId w:val="2"/>
        </w:numPr>
        <w:spacing w:lineRule="auto" w:after="0" w:line="276" w:before="0"/>
        <w:ind w:left="1440" w:hanging="358"/>
        <w:contextualSpacing w:val="1"/>
        <w:jc w:val="both"/>
        <w:rPr>
          <w:b w:val="0"/>
          <w:i w:val="1"/>
          <w:color w:val="000000"/>
          <w:sz w:val="20"/>
        </w:rPr>
      </w:pPr>
      <w:r w:rsidRPr="00000000" w:rsidR="00000000" w:rsidDel="00000000">
        <w:rPr>
          <w:rFonts w:cs="Arial" w:hAnsi="Arial" w:eastAsia="Arial" w:ascii="Arial"/>
          <w:b w:val="0"/>
          <w:i w:val="1"/>
          <w:color w:val="000000"/>
          <w:sz w:val="20"/>
          <w:rtl w:val="0"/>
        </w:rPr>
        <w:t xml:space="preserve">Los estudiantes se evalúan contra lo que deben “conocer completamente” para el fin de curso.</w:t>
      </w:r>
    </w:p>
    <w:p w:rsidP="00000000" w:rsidRPr="00000000" w:rsidR="00000000" w:rsidDel="00000000" w:rsidRDefault="00000000">
      <w:pPr>
        <w:numPr>
          <w:ilvl w:val="0"/>
          <w:numId w:val="2"/>
        </w:numPr>
        <w:spacing w:lineRule="auto" w:after="0" w:line="276" w:before="0"/>
        <w:ind w:left="1440" w:hanging="358"/>
        <w:contextualSpacing w:val="1"/>
        <w:jc w:val="both"/>
        <w:rPr>
          <w:b w:val="0"/>
          <w:i w:val="1"/>
          <w:color w:val="000000"/>
          <w:sz w:val="20"/>
        </w:rPr>
      </w:pPr>
      <w:r w:rsidRPr="00000000" w:rsidR="00000000" w:rsidDel="00000000">
        <w:rPr>
          <w:rFonts w:cs="Arial" w:hAnsi="Arial" w:eastAsia="Arial" w:ascii="Arial"/>
          <w:b w:val="0"/>
          <w:i w:val="1"/>
          <w:color w:val="000000"/>
          <w:sz w:val="20"/>
          <w:rtl w:val="0"/>
        </w:rPr>
        <w:t xml:space="preserve">Esto también significa que al prinicipio del año escolar, la mayoría de los estudiantes demostrarán un conocimiento mínimo o parcial y que al progresar, desarrollarán mayor conocimiento de los estándares.</w:t>
      </w:r>
    </w:p>
    <w:p w:rsidP="00000000" w:rsidRPr="00000000" w:rsidR="00000000" w:rsidDel="00000000" w:rsidRDefault="00000000">
      <w:pPr>
        <w:spacing w:lineRule="auto" w:after="0" w:line="276" w:before="0"/>
        <w:ind w:firstLine="720"/>
        <w:contextualSpacing w:val="0"/>
        <w:jc w:val="both"/>
      </w:pPr>
      <w:r w:rsidRPr="00000000" w:rsidR="00000000" w:rsidDel="00000000">
        <w:rPr>
          <w:rFonts w:cs="Arial" w:hAnsi="Arial" w:eastAsia="Arial" w:ascii="Arial"/>
          <w:b w:val="1"/>
          <w:i w:val="1"/>
          <w:color w:val="000000"/>
          <w:sz w:val="20"/>
          <w:rtl w:val="0"/>
        </w:rPr>
        <w:t xml:space="preserve">¿Por qué este cambio?</w:t>
      </w:r>
      <w:r w:rsidRPr="00000000" w:rsidR="00000000" w:rsidDel="00000000">
        <w:rPr>
          <w:rtl w:val="0"/>
        </w:rPr>
      </w:r>
    </w:p>
    <w:p w:rsidP="00000000" w:rsidRPr="00000000" w:rsidR="00000000" w:rsidDel="00000000" w:rsidRDefault="00000000">
      <w:pPr>
        <w:numPr>
          <w:ilvl w:val="0"/>
          <w:numId w:val="4"/>
        </w:numPr>
        <w:spacing w:lineRule="auto" w:after="0" w:line="276" w:before="0"/>
        <w:ind w:left="1440" w:hanging="358"/>
        <w:contextualSpacing w:val="1"/>
        <w:jc w:val="both"/>
        <w:rPr>
          <w:b w:val="0"/>
          <w:i w:val="1"/>
          <w:color w:val="000000"/>
          <w:sz w:val="22"/>
        </w:rPr>
      </w:pPr>
      <w:r w:rsidRPr="00000000" w:rsidR="00000000" w:rsidDel="00000000">
        <w:rPr>
          <w:rFonts w:cs="Arial" w:hAnsi="Arial" w:eastAsia="Arial" w:ascii="Arial"/>
          <w:b w:val="0"/>
          <w:i w:val="1"/>
          <w:color w:val="000000"/>
          <w:sz w:val="20"/>
          <w:rtl w:val="0"/>
        </w:rPr>
        <w:t xml:space="preserve">Esta decisión está alineada con un genuino “reportaje basado en los estándares” en el cual se evalúan a los estudiantes con los estándares de fin de curso (ejemplos: SBAC, iReady. Etc.) </w:t>
      </w:r>
      <w:r w:rsidRPr="00000000" w:rsidR="00000000" w:rsidDel="00000000">
        <w:rPr>
          <w:rtl w:val="0"/>
        </w:rPr>
      </w:r>
    </w:p>
    <w:p w:rsidP="00000000" w:rsidRPr="00000000" w:rsidR="00000000" w:rsidDel="00000000" w:rsidRDefault="00000000">
      <w:pPr>
        <w:numPr>
          <w:ilvl w:val="0"/>
          <w:numId w:val="5"/>
        </w:numPr>
        <w:spacing w:lineRule="auto" w:after="0" w:line="276" w:before="0"/>
        <w:ind w:left="1440" w:hanging="358"/>
        <w:contextualSpacing w:val="1"/>
        <w:jc w:val="both"/>
        <w:rPr>
          <w:b w:val="0"/>
          <w:i w:val="1"/>
          <w:color w:val="000000"/>
          <w:sz w:val="22"/>
        </w:rPr>
      </w:pPr>
      <w:r w:rsidRPr="00000000" w:rsidR="00000000" w:rsidDel="00000000">
        <w:rPr>
          <w:rFonts w:cs="Arial" w:hAnsi="Arial" w:eastAsia="Arial" w:ascii="Arial"/>
          <w:b w:val="0"/>
          <w:i w:val="1"/>
          <w:color w:val="000000"/>
          <w:sz w:val="20"/>
          <w:rtl w:val="0"/>
        </w:rPr>
        <w:t xml:space="preserve">El estado prepara los resultados basados en los conocimientos que esperan a fin de curso. Por ende debemos monitorear el progreso de cada estudiante en su camino hacia alcanzar estas metas rigurosas.</w:t>
      </w: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numPr>
          <w:ilvl w:val="0"/>
          <w:numId w:val="6"/>
        </w:numPr>
        <w:spacing w:lineRule="auto" w:after="0" w:line="276" w:before="0"/>
        <w:ind w:left="720" w:hanging="358"/>
        <w:contextualSpacing w:val="1"/>
        <w:jc w:val="both"/>
        <w:rPr>
          <w:rFonts w:cs="Arial" w:hAnsi="Arial" w:eastAsia="Arial" w:ascii="Arial"/>
          <w:b w:val="1"/>
          <w:color w:val="000000"/>
          <w:sz w:val="22"/>
        </w:rPr>
      </w:pPr>
      <w:r w:rsidRPr="00000000" w:rsidR="00000000" w:rsidDel="00000000">
        <w:rPr>
          <w:rFonts w:cs="Arial" w:hAnsi="Arial" w:eastAsia="Arial" w:ascii="Arial"/>
          <w:b w:val="1"/>
          <w:color w:val="000000"/>
          <w:sz w:val="22"/>
          <w:rtl w:val="0"/>
        </w:rPr>
        <w:t xml:space="preserve">Estándares de desarrollo del ingles </w:t>
      </w:r>
    </w:p>
    <w:p w:rsidP="00000000" w:rsidRPr="00000000" w:rsidR="00000000" w:rsidDel="00000000" w:rsidRDefault="00000000">
      <w:pPr>
        <w:spacing w:lineRule="auto" w:after="0" w:line="276" w:before="0"/>
        <w:ind w:left="720" w:firstLine="0"/>
        <w:contextualSpacing w:val="0"/>
        <w:jc w:val="both"/>
      </w:pPr>
      <w:r w:rsidRPr="00000000" w:rsidR="00000000" w:rsidDel="00000000">
        <w:rPr>
          <w:rFonts w:cs="Arial" w:hAnsi="Arial" w:eastAsia="Arial" w:ascii="Arial"/>
          <w:b w:val="0"/>
          <w:color w:val="000000"/>
          <w:sz w:val="22"/>
          <w:rtl w:val="0"/>
        </w:rPr>
        <w:t xml:space="preserve">También se reportará acerca de los estándares ELD de “Common Core” para aquellos estudiantes cuyo idioma principal no sea el inglés.  Casi el 40% de nuestros estudiantes se consideran estudiantes de inglés como segundo idioma. </w:t>
      </w:r>
    </w:p>
    <w:p w:rsidP="00000000" w:rsidRPr="00000000" w:rsidR="00000000" w:rsidDel="00000000" w:rsidRDefault="00000000">
      <w:pPr>
        <w:numPr>
          <w:ilvl w:val="0"/>
          <w:numId w:val="3"/>
        </w:numPr>
        <w:spacing w:lineRule="auto" w:after="0" w:line="276" w:before="0"/>
        <w:ind w:left="2160" w:hanging="358"/>
        <w:contextualSpacing w:val="1"/>
        <w:jc w:val="both"/>
        <w:rPr>
          <w:b w:val="0"/>
          <w:color w:val="000000"/>
          <w:sz w:val="20"/>
        </w:rPr>
      </w:pPr>
      <w:r w:rsidRPr="00000000" w:rsidR="00000000" w:rsidDel="00000000">
        <w:rPr>
          <w:rFonts w:cs="Arial" w:hAnsi="Arial" w:eastAsia="Arial" w:ascii="Arial"/>
          <w:b w:val="1"/>
          <w:color w:val="000000"/>
          <w:sz w:val="20"/>
          <w:rtl w:val="0"/>
        </w:rPr>
        <w:t xml:space="preserve">Emergente </w:t>
      </w:r>
      <w:r w:rsidRPr="00000000" w:rsidR="00000000" w:rsidDel="00000000">
        <w:rPr>
          <w:rFonts w:cs="Arial" w:hAnsi="Arial" w:eastAsia="Arial" w:ascii="Arial"/>
          <w:b w:val="0"/>
          <w:i w:val="1"/>
          <w:color w:val="000000"/>
          <w:sz w:val="20"/>
          <w:rtl w:val="0"/>
        </w:rPr>
        <w:t xml:space="preserve">(E) anteriormente </w:t>
      </w:r>
      <w:r w:rsidRPr="00000000" w:rsidR="00000000" w:rsidDel="00000000">
        <w:rPr>
          <w:rFonts w:cs="Arial" w:hAnsi="Arial" w:eastAsia="Arial" w:ascii="Arial"/>
          <w:b w:val="1"/>
          <w:i w:val="1"/>
          <w:color w:val="000000"/>
          <w:sz w:val="20"/>
          <w:rtl w:val="0"/>
        </w:rPr>
        <w:t xml:space="preserve">Principiante/Intermedio temprano  </w:t>
      </w:r>
      <w:r w:rsidRPr="00000000" w:rsidR="00000000" w:rsidDel="00000000">
        <w:rPr>
          <w:rtl w:val="0"/>
        </w:rPr>
      </w:r>
    </w:p>
    <w:p w:rsidP="00000000" w:rsidRPr="00000000" w:rsidR="00000000" w:rsidDel="00000000" w:rsidRDefault="00000000">
      <w:pPr>
        <w:numPr>
          <w:ilvl w:val="0"/>
          <w:numId w:val="3"/>
        </w:numPr>
        <w:spacing w:lineRule="auto" w:after="0" w:line="276" w:before="0"/>
        <w:ind w:left="2160" w:hanging="358"/>
        <w:contextualSpacing w:val="1"/>
        <w:jc w:val="both"/>
        <w:rPr>
          <w:b w:val="0"/>
          <w:color w:val="000000"/>
          <w:sz w:val="20"/>
        </w:rPr>
      </w:pPr>
      <w:r w:rsidRPr="00000000" w:rsidR="00000000" w:rsidDel="00000000">
        <w:rPr>
          <w:rFonts w:cs="Arial" w:hAnsi="Arial" w:eastAsia="Arial" w:ascii="Arial"/>
          <w:b w:val="1"/>
          <w:color w:val="000000"/>
          <w:sz w:val="20"/>
          <w:rtl w:val="0"/>
        </w:rPr>
        <w:t xml:space="preserve">En expansión </w:t>
      </w:r>
      <w:r w:rsidRPr="00000000" w:rsidR="00000000" w:rsidDel="00000000">
        <w:rPr>
          <w:rFonts w:cs="Arial" w:hAnsi="Arial" w:eastAsia="Arial" w:ascii="Arial"/>
          <w:b w:val="0"/>
          <w:i w:val="1"/>
          <w:color w:val="000000"/>
          <w:sz w:val="20"/>
          <w:rtl w:val="0"/>
        </w:rPr>
        <w:t xml:space="preserve">(X) anteriormente </w:t>
      </w:r>
      <w:r w:rsidRPr="00000000" w:rsidR="00000000" w:rsidDel="00000000">
        <w:rPr>
          <w:rFonts w:cs="Arial" w:hAnsi="Arial" w:eastAsia="Arial" w:ascii="Arial"/>
          <w:b w:val="1"/>
          <w:i w:val="1"/>
          <w:color w:val="000000"/>
          <w:sz w:val="20"/>
          <w:rtl w:val="0"/>
        </w:rPr>
        <w:t xml:space="preserve">Intermedio</w:t>
      </w:r>
      <w:r w:rsidRPr="00000000" w:rsidR="00000000" w:rsidDel="00000000">
        <w:rPr>
          <w:rtl w:val="0"/>
        </w:rPr>
      </w:r>
    </w:p>
    <w:p w:rsidP="00000000" w:rsidRPr="00000000" w:rsidR="00000000" w:rsidDel="00000000" w:rsidRDefault="00000000">
      <w:pPr>
        <w:numPr>
          <w:ilvl w:val="0"/>
          <w:numId w:val="3"/>
        </w:numPr>
        <w:spacing w:lineRule="auto" w:after="0" w:line="276" w:before="0"/>
        <w:ind w:left="2160" w:hanging="358"/>
        <w:contextualSpacing w:val="1"/>
        <w:jc w:val="both"/>
        <w:rPr>
          <w:b w:val="0"/>
          <w:color w:val="000000"/>
          <w:sz w:val="20"/>
        </w:rPr>
      </w:pPr>
      <w:r w:rsidRPr="00000000" w:rsidR="00000000" w:rsidDel="00000000">
        <w:rPr>
          <w:rFonts w:cs="Arial" w:hAnsi="Arial" w:eastAsia="Arial" w:ascii="Arial"/>
          <w:b w:val="1"/>
          <w:color w:val="000000"/>
          <w:sz w:val="20"/>
          <w:rtl w:val="0"/>
        </w:rPr>
        <w:t xml:space="preserve">Extendiéndose </w:t>
      </w:r>
      <w:r w:rsidRPr="00000000" w:rsidR="00000000" w:rsidDel="00000000">
        <w:rPr>
          <w:rFonts w:cs="Arial" w:hAnsi="Arial" w:eastAsia="Arial" w:ascii="Arial"/>
          <w:b w:val="0"/>
          <w:i w:val="1"/>
          <w:color w:val="000000"/>
          <w:sz w:val="20"/>
          <w:rtl w:val="0"/>
        </w:rPr>
        <w:t xml:space="preserve">(B) anteriormente </w:t>
      </w:r>
      <w:r w:rsidRPr="00000000" w:rsidR="00000000" w:rsidDel="00000000">
        <w:rPr>
          <w:rFonts w:cs="Arial" w:hAnsi="Arial" w:eastAsia="Arial" w:ascii="Arial"/>
          <w:b w:val="1"/>
          <w:i w:val="1"/>
          <w:color w:val="000000"/>
          <w:sz w:val="20"/>
          <w:rtl w:val="0"/>
        </w:rPr>
        <w:t xml:space="preserve">Avanzado temprano/Avanzado</w:t>
      </w: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Estos estándares nuevos de ELD trabajan en conjunto con los estándares “Common Core” y contienen tres partes principales: </w:t>
      </w:r>
    </w:p>
    <w:p w:rsidP="00000000" w:rsidRPr="00000000" w:rsidR="00000000" w:rsidDel="00000000" w:rsidRDefault="00000000">
      <w:pPr>
        <w:numPr>
          <w:ilvl w:val="0"/>
          <w:numId w:val="1"/>
        </w:numPr>
        <w:spacing w:lineRule="auto" w:after="0" w:line="276" w:before="0"/>
        <w:ind w:left="2160" w:hanging="358"/>
        <w:contextualSpacing w:val="1"/>
        <w:jc w:val="both"/>
        <w:rPr>
          <w:b w:val="0"/>
          <w:color w:val="000000"/>
          <w:sz w:val="20"/>
        </w:rPr>
      </w:pPr>
      <w:r w:rsidRPr="00000000" w:rsidR="00000000" w:rsidDel="00000000">
        <w:rPr>
          <w:rFonts w:cs="Arial" w:hAnsi="Arial" w:eastAsia="Arial" w:ascii="Arial"/>
          <w:b w:val="1"/>
          <w:color w:val="000000"/>
          <w:sz w:val="20"/>
          <w:rtl w:val="0"/>
        </w:rPr>
        <w:t xml:space="preserve">Parte I</w:t>
      </w:r>
      <w:r w:rsidRPr="00000000" w:rsidR="00000000" w:rsidDel="00000000">
        <w:rPr>
          <w:rFonts w:cs="Arial" w:hAnsi="Arial" w:eastAsia="Arial" w:ascii="Arial"/>
          <w:b w:val="0"/>
          <w:color w:val="000000"/>
          <w:sz w:val="20"/>
          <w:rtl w:val="0"/>
        </w:rPr>
        <w:t xml:space="preserve">  Se enfoca en el uso del idioma para la </w:t>
      </w:r>
      <w:r w:rsidRPr="00000000" w:rsidR="00000000" w:rsidDel="00000000">
        <w:rPr>
          <w:rFonts w:cs="Arial" w:hAnsi="Arial" w:eastAsia="Arial" w:ascii="Arial"/>
          <w:b w:val="1"/>
          <w:color w:val="000000"/>
          <w:sz w:val="20"/>
          <w:rtl w:val="0"/>
        </w:rPr>
        <w:t xml:space="preserve">comunicación (oral y escrita)</w:t>
      </w:r>
      <w:r w:rsidRPr="00000000" w:rsidR="00000000" w:rsidDel="00000000">
        <w:rPr>
          <w:rtl w:val="0"/>
        </w:rPr>
      </w:r>
    </w:p>
    <w:p w:rsidP="00000000" w:rsidRPr="00000000" w:rsidR="00000000" w:rsidDel="00000000" w:rsidRDefault="00000000">
      <w:pPr>
        <w:numPr>
          <w:ilvl w:val="0"/>
          <w:numId w:val="1"/>
        </w:numPr>
        <w:spacing w:lineRule="auto" w:after="0" w:line="276" w:before="0"/>
        <w:ind w:left="2160" w:hanging="358"/>
        <w:contextualSpacing w:val="1"/>
        <w:jc w:val="both"/>
        <w:rPr>
          <w:b w:val="0"/>
          <w:color w:val="000000"/>
          <w:sz w:val="20"/>
        </w:rPr>
      </w:pPr>
      <w:r w:rsidRPr="00000000" w:rsidR="00000000" w:rsidDel="00000000">
        <w:rPr>
          <w:rFonts w:cs="Arial" w:hAnsi="Arial" w:eastAsia="Arial" w:ascii="Arial"/>
          <w:b w:val="1"/>
          <w:color w:val="000000"/>
          <w:sz w:val="20"/>
          <w:rtl w:val="0"/>
        </w:rPr>
        <w:t xml:space="preserve">Parte II</w:t>
      </w:r>
      <w:r w:rsidRPr="00000000" w:rsidR="00000000" w:rsidDel="00000000">
        <w:rPr>
          <w:rFonts w:cs="Arial" w:hAnsi="Arial" w:eastAsia="Arial" w:ascii="Arial"/>
          <w:b w:val="0"/>
          <w:color w:val="000000"/>
          <w:sz w:val="20"/>
          <w:rtl w:val="0"/>
        </w:rPr>
        <w:t xml:space="preserve"> Se enfoca en el </w:t>
      </w:r>
      <w:r w:rsidRPr="00000000" w:rsidR="00000000" w:rsidDel="00000000">
        <w:rPr>
          <w:rFonts w:cs="Arial" w:hAnsi="Arial" w:eastAsia="Arial" w:ascii="Arial"/>
          <w:b w:val="1"/>
          <w:color w:val="000000"/>
          <w:sz w:val="20"/>
          <w:rtl w:val="0"/>
        </w:rPr>
        <w:t xml:space="preserve">funcionamiento del idioma</w:t>
      </w:r>
      <w:r w:rsidRPr="00000000" w:rsidR="00000000" w:rsidDel="00000000">
        <w:rPr>
          <w:rFonts w:cs="Arial" w:hAnsi="Arial" w:eastAsia="Arial" w:ascii="Arial"/>
          <w:b w:val="0"/>
          <w:i w:val="1"/>
          <w:color w:val="000000"/>
          <w:sz w:val="20"/>
          <w:rtl w:val="0"/>
        </w:rPr>
        <w:t xml:space="preserve"> (conocimiento de las estructuras y gramática del inglés a un nivel más alto)</w:t>
      </w:r>
      <w:r w:rsidRPr="00000000" w:rsidR="00000000" w:rsidDel="00000000">
        <w:rPr>
          <w:rFonts w:cs="Arial" w:hAnsi="Arial" w:eastAsia="Arial" w:ascii="Arial"/>
          <w:b w:val="0"/>
          <w:color w:val="000000"/>
          <w:sz w:val="20"/>
          <w:rtl w:val="0"/>
        </w:rPr>
        <w:t xml:space="preserve"> </w:t>
      </w:r>
    </w:p>
    <w:p w:rsidP="00000000" w:rsidRPr="00000000" w:rsidR="00000000" w:rsidDel="00000000" w:rsidRDefault="00000000">
      <w:pPr>
        <w:numPr>
          <w:ilvl w:val="0"/>
          <w:numId w:val="1"/>
        </w:numPr>
        <w:spacing w:lineRule="auto" w:after="0" w:line="276" w:before="0"/>
        <w:ind w:left="2160" w:hanging="358"/>
        <w:contextualSpacing w:val="1"/>
        <w:jc w:val="both"/>
        <w:rPr>
          <w:b w:val="0"/>
          <w:color w:val="000000"/>
          <w:sz w:val="22"/>
        </w:rPr>
      </w:pPr>
      <w:r w:rsidRPr="00000000" w:rsidR="00000000" w:rsidDel="00000000">
        <w:rPr>
          <w:rFonts w:cs="Arial" w:hAnsi="Arial" w:eastAsia="Arial" w:ascii="Arial"/>
          <w:b w:val="1"/>
          <w:color w:val="000000"/>
          <w:sz w:val="20"/>
          <w:rtl w:val="0"/>
        </w:rPr>
        <w:t xml:space="preserve">Parte III</w:t>
      </w:r>
      <w:r w:rsidRPr="00000000" w:rsidR="00000000" w:rsidDel="00000000">
        <w:rPr>
          <w:rFonts w:cs="Arial" w:hAnsi="Arial" w:eastAsia="Arial" w:ascii="Arial"/>
          <w:b w:val="0"/>
          <w:color w:val="000000"/>
          <w:sz w:val="20"/>
          <w:rtl w:val="0"/>
        </w:rPr>
        <w:t xml:space="preserve"> Se enfoca en destrezas  del principio de la </w:t>
      </w:r>
      <w:r w:rsidRPr="00000000" w:rsidR="00000000" w:rsidDel="00000000">
        <w:rPr>
          <w:rFonts w:cs="Arial" w:hAnsi="Arial" w:eastAsia="Arial" w:ascii="Arial"/>
          <w:b w:val="0"/>
          <w:i w:val="1"/>
          <w:color w:val="000000"/>
          <w:sz w:val="20"/>
          <w:rtl w:val="0"/>
        </w:rPr>
        <w:t xml:space="preserve">alfabetización.</w:t>
      </w:r>
      <w:r w:rsidRPr="00000000" w:rsidR="00000000" w:rsidDel="00000000">
        <w:rPr>
          <w:rtl w:val="0"/>
        </w:rPr>
      </w:r>
    </w:p>
    <w:p w:rsidP="00000000" w:rsidRPr="00000000" w:rsidR="00000000" w:rsidDel="00000000" w:rsidRDefault="00000000">
      <w:pPr>
        <w:spacing w:lineRule="auto" w:after="0" w:line="276" w:before="0"/>
        <w:ind w:left="2160" w:firstLin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Después de los exámenes estatales de la primavera de 2015, los estudiantes de tercer a octavo grados y los de tercer año de preparatoria recibirán informes de sus calificaciones individuales.  Los informes incluirán una calificación en general y una descripción del nivel de éxito en Lengua y literatura en inglés y matemáticas.  Los cambios a nuestras calificaciones están alineadas al nuevo sistema de reportaje del estado. </w:t>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Es importante recalcar que estas calificaciones no se pueden comparar con las que anteriormente ha recibido su hijo/a porque estas calificaciones se basan en los nuevos estándares “Common Core” y en los niveles de dominio esperados a fin de curso </w:t>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2"/>
          <w:rtl w:val="0"/>
        </w:rPr>
        <w:t xml:space="preserve"> </w:t>
      </w:r>
    </w:p>
    <w:p w:rsidP="00000000" w:rsidRPr="00000000" w:rsidR="00000000" w:rsidDel="00000000" w:rsidRDefault="00000000">
      <w:pPr>
        <w:spacing w:lineRule="auto" w:after="0" w:line="276" w:before="0"/>
        <w:contextualSpacing w:val="0"/>
        <w:jc w:val="both"/>
      </w:pPr>
      <w:bookmarkStart w:id="0" w:colFirst="0" w:name="h.gjdgxs" w:colLast="0"/>
      <w:bookmarkEnd w:id="0"/>
      <w:r w:rsidRPr="00000000" w:rsidR="00000000" w:rsidDel="00000000">
        <w:rPr>
          <w:rFonts w:cs="Arial" w:hAnsi="Arial" w:eastAsia="Arial" w:ascii="Arial"/>
          <w:b w:val="0"/>
          <w:color w:val="000000"/>
          <w:sz w:val="22"/>
          <w:rtl w:val="0"/>
        </w:rPr>
        <w:t xml:space="preserve">Durante este proceso de transición, MUSD seguirá pidiendo sus comentarios sobre el formulario, los estándares y las escalas de calificación para así poder desarrollar la mejor herramienta posible que puedan utilizar nuestros estudiantes, padres y maestros  para informarse del progreso académico de nuestros estudiantes. Por favor comunique cualquier pregunta, duda o comentario acerca de las nuevas calificaciones a su maestro y escuela.  También podrá dejar sus comentarios en la siguiente planilla untilizando este enlace </w:t>
      </w:r>
      <w:hyperlink r:id="rId6">
        <w:r w:rsidRPr="00000000" w:rsidR="00000000" w:rsidDel="00000000">
          <w:rPr>
            <w:rFonts w:cs="Arial" w:hAnsi="Arial" w:eastAsia="Arial" w:ascii="Arial"/>
            <w:b w:val="1"/>
            <w:color w:val="1155cc"/>
            <w:sz w:val="22"/>
            <w:u w:val="single"/>
            <w:rtl w:val="0"/>
          </w:rPr>
          <w:t xml:space="preserve">link (Survey)</w:t>
        </w:r>
      </w:hyperlink>
      <w:hyperlink r:id="rId7">
        <w:r w:rsidRPr="00000000" w:rsidR="00000000" w:rsidDel="00000000">
          <w:rPr>
            <w:rtl w:val="0"/>
          </w:rPr>
        </w:r>
      </w:hyperlink>
    </w:p>
    <w:p w:rsidP="00000000" w:rsidRPr="00000000" w:rsidR="00000000" w:rsidDel="00000000" w:rsidRDefault="00000000">
      <w:pPr>
        <w:spacing w:lineRule="auto" w:after="0" w:line="276" w:before="0"/>
        <w:contextualSpacing w:val="0"/>
        <w:jc w:val="both"/>
      </w:pPr>
      <w:hyperlink r:id="rId8">
        <w:r w:rsidRPr="00000000" w:rsidR="00000000" w:rsidDel="00000000">
          <w:rPr>
            <w:rtl w:val="0"/>
          </w:rPr>
        </w:r>
      </w:hyperlink>
    </w:p>
    <w:p w:rsidP="00000000" w:rsidRPr="00000000" w:rsidR="00000000" w:rsidDel="00000000" w:rsidRDefault="00000000">
      <w:pPr>
        <w:spacing w:lineRule="auto" w:after="0" w:line="276" w:before="0"/>
        <w:contextualSpacing w:val="0"/>
      </w:pPr>
      <w:r w:rsidRPr="00000000" w:rsidR="00000000" w:rsidDel="00000000">
        <w:rPr>
          <w:rFonts w:cs="Arial" w:hAnsi="Arial" w:eastAsia="Arial" w:ascii="Arial"/>
          <w:b w:val="0"/>
          <w:color w:val="000000"/>
          <w:sz w:val="22"/>
          <w:rtl w:val="0"/>
        </w:rPr>
        <w:t xml:space="preserve">Si desea mayores informes, por favor visite el sitio web de MUSD </w:t>
      </w:r>
      <w:hyperlink r:id="rId9">
        <w:r w:rsidRPr="00000000" w:rsidR="00000000" w:rsidDel="00000000">
          <w:rPr>
            <w:rFonts w:cs="Arial" w:hAnsi="Arial" w:eastAsia="Arial" w:ascii="Arial"/>
            <w:b w:val="0"/>
            <w:color w:val="1155cc"/>
            <w:sz w:val="22"/>
            <w:u w:val="single"/>
            <w:rtl w:val="0"/>
          </w:rPr>
          <w:t xml:space="preserve">http://www.musd.org/reportcards</w:t>
        </w:r>
      </w:hyperlink>
      <w:r w:rsidRPr="00000000" w:rsidR="00000000" w:rsidDel="00000000">
        <w:rPr>
          <w:rFonts w:cs="Arial" w:hAnsi="Arial" w:eastAsia="Arial" w:ascii="Arial"/>
          <w:b w:val="0"/>
          <w:color w:val="000000"/>
          <w:sz w:val="22"/>
          <w:rtl w:val="0"/>
        </w:rPr>
        <w:t xml:space="preserve">   Para saber lo que espera el estado, haga clic en la pestaña “Parent/Student” del sitio web CDE CAASPP</w:t>
      </w:r>
      <w:hyperlink r:id="rId10">
        <w:r w:rsidRPr="00000000" w:rsidR="00000000" w:rsidDel="00000000">
          <w:rPr>
            <w:rFonts w:cs="Arial" w:hAnsi="Arial" w:eastAsia="Arial" w:ascii="Arial"/>
            <w:b w:val="0"/>
            <w:color w:val="000000"/>
            <w:sz w:val="22"/>
            <w:rtl w:val="0"/>
          </w:rPr>
          <w:t xml:space="preserve"> </w:t>
        </w:r>
      </w:hyperlink>
      <w:hyperlink r:id="rId11">
        <w:r w:rsidRPr="00000000" w:rsidR="00000000" w:rsidDel="00000000">
          <w:rPr>
            <w:rFonts w:cs="Arial" w:hAnsi="Arial" w:eastAsia="Arial" w:ascii="Arial"/>
            <w:b w:val="0"/>
            <w:color w:val="1155cc"/>
            <w:sz w:val="22"/>
            <w:u w:val="single"/>
            <w:rtl w:val="0"/>
          </w:rPr>
          <w:t xml:space="preserve">http://www.cde.ca.gov/ta/tg/ca/</w:t>
        </w:r>
      </w:hyperlink>
      <w:r w:rsidRPr="00000000" w:rsidR="00000000" w:rsidDel="00000000">
        <w:rPr>
          <w:rFonts w:cs="Arial" w:hAnsi="Arial" w:eastAsia="Arial" w:ascii="Arial"/>
          <w:b w:val="0"/>
          <w:color w:val="000000"/>
          <w:sz w:val="22"/>
          <w:rtl w:val="0"/>
        </w:rPr>
        <w:t xml:space="preserve">. </w:t>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4"/>
          <w:rtl w:val="0"/>
        </w:rPr>
        <w:t xml:space="preserve">Atentamente,</w:t>
      </w: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tl w:val="0"/>
        </w:rPr>
      </w:r>
    </w:p>
    <w:p w:rsidP="00000000" w:rsidRPr="00000000" w:rsidR="00000000" w:rsidDel="00000000" w:rsidRDefault="00000000">
      <w:pPr>
        <w:spacing w:lineRule="auto" w:after="0" w:line="276" w:before="0"/>
        <w:contextualSpacing w:val="0"/>
        <w:jc w:val="both"/>
      </w:pPr>
      <w:r w:rsidRPr="00000000" w:rsidR="00000000" w:rsidDel="00000000">
        <w:rPr>
          <w:rFonts w:cs="Arial" w:hAnsi="Arial" w:eastAsia="Arial" w:ascii="Arial"/>
          <w:b w:val="0"/>
          <w:color w:val="000000"/>
          <w:sz w:val="24"/>
          <w:rtl w:val="0"/>
        </w:rPr>
        <w:t xml:space="preserve">Matthew Duffy, Asistente del Superintendente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firstLine="3960"/>
      </w:pPr>
      <w:rPr>
        <w:rFonts w:cs="Arial" w:hAnsi="Arial" w:eastAsia="Arial" w:ascii="Arial"/>
        <w:u w:val="none"/>
      </w:rPr>
    </w:lvl>
    <w:lvl w:ilvl="1">
      <w:start w:val="1"/>
      <w:numFmt w:val="bullet"/>
      <w:lvlText w:val="○"/>
      <w:lvlJc w:val="left"/>
      <w:pPr>
        <w:ind w:left="2880" w:firstLine="5400"/>
      </w:pPr>
      <w:rPr>
        <w:rFonts w:cs="Arial" w:hAnsi="Arial" w:eastAsia="Arial" w:ascii="Arial"/>
        <w:u w:val="none"/>
      </w:rPr>
    </w:lvl>
    <w:lvl w:ilvl="2">
      <w:start w:val="1"/>
      <w:numFmt w:val="bullet"/>
      <w:lvlText w:val="■"/>
      <w:lvlJc w:val="left"/>
      <w:pPr>
        <w:ind w:left="3600" w:firstLine="6840"/>
      </w:pPr>
      <w:rPr>
        <w:rFonts w:cs="Arial" w:hAnsi="Arial" w:eastAsia="Arial" w:ascii="Arial"/>
        <w:u w:val="none"/>
      </w:rPr>
    </w:lvl>
    <w:lvl w:ilvl="3">
      <w:start w:val="1"/>
      <w:numFmt w:val="bullet"/>
      <w:lvlText w:val="●"/>
      <w:lvlJc w:val="left"/>
      <w:pPr>
        <w:ind w:left="4320" w:firstLine="8280"/>
      </w:pPr>
      <w:rPr>
        <w:rFonts w:cs="Arial" w:hAnsi="Arial" w:eastAsia="Arial" w:ascii="Arial"/>
        <w:u w:val="none"/>
      </w:rPr>
    </w:lvl>
    <w:lvl w:ilvl="4">
      <w:start w:val="1"/>
      <w:numFmt w:val="bullet"/>
      <w:lvlText w:val="○"/>
      <w:lvlJc w:val="left"/>
      <w:pPr>
        <w:ind w:left="5040" w:firstLine="9720"/>
      </w:pPr>
      <w:rPr>
        <w:rFonts w:cs="Arial" w:hAnsi="Arial" w:eastAsia="Arial" w:ascii="Arial"/>
        <w:u w:val="none"/>
      </w:rPr>
    </w:lvl>
    <w:lvl w:ilvl="5">
      <w:start w:val="1"/>
      <w:numFmt w:val="bullet"/>
      <w:lvlText w:val="■"/>
      <w:lvlJc w:val="left"/>
      <w:pPr>
        <w:ind w:left="5760" w:firstLine="11160"/>
      </w:pPr>
      <w:rPr>
        <w:rFonts w:cs="Arial" w:hAnsi="Arial" w:eastAsia="Arial" w:ascii="Arial"/>
        <w:u w:val="none"/>
      </w:rPr>
    </w:lvl>
    <w:lvl w:ilvl="6">
      <w:start w:val="1"/>
      <w:numFmt w:val="bullet"/>
      <w:lvlText w:val="●"/>
      <w:lvlJc w:val="left"/>
      <w:pPr>
        <w:ind w:left="6480" w:firstLine="12600"/>
      </w:pPr>
      <w:rPr>
        <w:rFonts w:cs="Arial" w:hAnsi="Arial" w:eastAsia="Arial" w:ascii="Arial"/>
        <w:u w:val="none"/>
      </w:rPr>
    </w:lvl>
    <w:lvl w:ilvl="7">
      <w:start w:val="1"/>
      <w:numFmt w:val="bullet"/>
      <w:lvlText w:val="○"/>
      <w:lvlJc w:val="left"/>
      <w:pPr>
        <w:ind w:left="7200" w:firstLine="14040"/>
      </w:pPr>
      <w:rPr>
        <w:rFonts w:cs="Arial" w:hAnsi="Arial" w:eastAsia="Arial" w:ascii="Arial"/>
        <w:u w:val="none"/>
      </w:rPr>
    </w:lvl>
    <w:lvl w:ilvl="8">
      <w:start w:val="1"/>
      <w:numFmt w:val="bullet"/>
      <w:lvlText w:val="■"/>
      <w:lvlJc w:val="left"/>
      <w:pPr>
        <w:ind w:left="7920" w:firstLine="15480"/>
      </w:pPr>
      <w:rPr>
        <w:rFonts w:cs="Arial" w:hAnsi="Arial" w:eastAsia="Arial" w:ascii="Arial"/>
        <w:u w:val="none"/>
      </w:rPr>
    </w:lvl>
  </w:abstractNum>
  <w:abstractNum w:abstractNumId="2">
    <w:lvl w:ilvl="0">
      <w:start w:val="1"/>
      <w:numFmt w:val="bullet"/>
      <w:lvlText w:val="●"/>
      <w:lvlJc w:val="left"/>
      <w:pPr>
        <w:ind w:left="1440" w:firstLine="2520"/>
      </w:pPr>
      <w:rPr>
        <w:rFonts w:cs="Arial" w:hAnsi="Arial" w:eastAsia="Arial" w:ascii="Arial"/>
        <w:u w:val="none"/>
      </w:rPr>
    </w:lvl>
    <w:lvl w:ilvl="1">
      <w:start w:val="1"/>
      <w:numFmt w:val="bullet"/>
      <w:lvlText w:val="○"/>
      <w:lvlJc w:val="left"/>
      <w:pPr>
        <w:ind w:left="2160" w:firstLine="3960"/>
      </w:pPr>
      <w:rPr>
        <w:rFonts w:cs="Arial" w:hAnsi="Arial" w:eastAsia="Arial" w:ascii="Arial"/>
        <w:u w:val="none"/>
      </w:rPr>
    </w:lvl>
    <w:lvl w:ilvl="2">
      <w:start w:val="1"/>
      <w:numFmt w:val="bullet"/>
      <w:lvlText w:val="■"/>
      <w:lvlJc w:val="left"/>
      <w:pPr>
        <w:ind w:left="2880" w:firstLine="5400"/>
      </w:pPr>
      <w:rPr>
        <w:rFonts w:cs="Arial" w:hAnsi="Arial" w:eastAsia="Arial" w:ascii="Arial"/>
        <w:u w:val="none"/>
      </w:rPr>
    </w:lvl>
    <w:lvl w:ilvl="3">
      <w:start w:val="1"/>
      <w:numFmt w:val="bullet"/>
      <w:lvlText w:val="●"/>
      <w:lvlJc w:val="left"/>
      <w:pPr>
        <w:ind w:left="3600" w:firstLine="6840"/>
      </w:pPr>
      <w:rPr>
        <w:rFonts w:cs="Arial" w:hAnsi="Arial" w:eastAsia="Arial" w:ascii="Arial"/>
        <w:u w:val="none"/>
      </w:rPr>
    </w:lvl>
    <w:lvl w:ilvl="4">
      <w:start w:val="1"/>
      <w:numFmt w:val="bullet"/>
      <w:lvlText w:val="○"/>
      <w:lvlJc w:val="left"/>
      <w:pPr>
        <w:ind w:left="4320" w:firstLine="8280"/>
      </w:pPr>
      <w:rPr>
        <w:rFonts w:cs="Arial" w:hAnsi="Arial" w:eastAsia="Arial" w:ascii="Arial"/>
        <w:u w:val="none"/>
      </w:rPr>
    </w:lvl>
    <w:lvl w:ilvl="5">
      <w:start w:val="1"/>
      <w:numFmt w:val="bullet"/>
      <w:lvlText w:val="■"/>
      <w:lvlJc w:val="left"/>
      <w:pPr>
        <w:ind w:left="5040" w:firstLine="9720"/>
      </w:pPr>
      <w:rPr>
        <w:rFonts w:cs="Arial" w:hAnsi="Arial" w:eastAsia="Arial" w:ascii="Arial"/>
        <w:u w:val="none"/>
      </w:rPr>
    </w:lvl>
    <w:lvl w:ilvl="6">
      <w:start w:val="1"/>
      <w:numFmt w:val="bullet"/>
      <w:lvlText w:val="●"/>
      <w:lvlJc w:val="left"/>
      <w:pPr>
        <w:ind w:left="5760" w:firstLine="11160"/>
      </w:pPr>
      <w:rPr>
        <w:rFonts w:cs="Arial" w:hAnsi="Arial" w:eastAsia="Arial" w:ascii="Arial"/>
        <w:u w:val="none"/>
      </w:rPr>
    </w:lvl>
    <w:lvl w:ilvl="7">
      <w:start w:val="1"/>
      <w:numFmt w:val="bullet"/>
      <w:lvlText w:val="○"/>
      <w:lvlJc w:val="left"/>
      <w:pPr>
        <w:ind w:left="6480" w:firstLine="12600"/>
      </w:pPr>
      <w:rPr>
        <w:rFonts w:cs="Arial" w:hAnsi="Arial" w:eastAsia="Arial" w:ascii="Arial"/>
        <w:u w:val="none"/>
      </w:rPr>
    </w:lvl>
    <w:lvl w:ilvl="8">
      <w:start w:val="1"/>
      <w:numFmt w:val="bullet"/>
      <w:lvlText w:val="■"/>
      <w:lvlJc w:val="left"/>
      <w:pPr>
        <w:ind w:left="7200" w:firstLine="14040"/>
      </w:pPr>
      <w:rPr>
        <w:rFonts w:cs="Arial" w:hAnsi="Arial" w:eastAsia="Arial" w:ascii="Arial"/>
        <w:u w:val="none"/>
      </w:rPr>
    </w:lvl>
  </w:abstractNum>
  <w:abstractNum w:abstractNumId="3">
    <w:lvl w:ilvl="0">
      <w:start w:val="1"/>
      <w:numFmt w:val="bullet"/>
      <w:lvlText w:val="●"/>
      <w:lvlJc w:val="left"/>
      <w:pPr>
        <w:ind w:left="2160" w:firstLine="3960"/>
      </w:pPr>
      <w:rPr>
        <w:rFonts w:cs="Arial" w:hAnsi="Arial" w:eastAsia="Arial" w:ascii="Arial"/>
        <w:u w:val="none"/>
      </w:rPr>
    </w:lvl>
    <w:lvl w:ilvl="1">
      <w:start w:val="1"/>
      <w:numFmt w:val="bullet"/>
      <w:lvlText w:val="○"/>
      <w:lvlJc w:val="left"/>
      <w:pPr>
        <w:ind w:left="2880" w:firstLine="5400"/>
      </w:pPr>
      <w:rPr>
        <w:rFonts w:cs="Arial" w:hAnsi="Arial" w:eastAsia="Arial" w:ascii="Arial"/>
        <w:u w:val="none"/>
      </w:rPr>
    </w:lvl>
    <w:lvl w:ilvl="2">
      <w:start w:val="1"/>
      <w:numFmt w:val="bullet"/>
      <w:lvlText w:val="■"/>
      <w:lvlJc w:val="left"/>
      <w:pPr>
        <w:ind w:left="3600" w:firstLine="6840"/>
      </w:pPr>
      <w:rPr>
        <w:rFonts w:cs="Arial" w:hAnsi="Arial" w:eastAsia="Arial" w:ascii="Arial"/>
        <w:u w:val="none"/>
      </w:rPr>
    </w:lvl>
    <w:lvl w:ilvl="3">
      <w:start w:val="1"/>
      <w:numFmt w:val="bullet"/>
      <w:lvlText w:val="●"/>
      <w:lvlJc w:val="left"/>
      <w:pPr>
        <w:ind w:left="4320" w:firstLine="8280"/>
      </w:pPr>
      <w:rPr>
        <w:rFonts w:cs="Arial" w:hAnsi="Arial" w:eastAsia="Arial" w:ascii="Arial"/>
        <w:u w:val="none"/>
      </w:rPr>
    </w:lvl>
    <w:lvl w:ilvl="4">
      <w:start w:val="1"/>
      <w:numFmt w:val="bullet"/>
      <w:lvlText w:val="○"/>
      <w:lvlJc w:val="left"/>
      <w:pPr>
        <w:ind w:left="5040" w:firstLine="9720"/>
      </w:pPr>
      <w:rPr>
        <w:rFonts w:cs="Arial" w:hAnsi="Arial" w:eastAsia="Arial" w:ascii="Arial"/>
        <w:u w:val="none"/>
      </w:rPr>
    </w:lvl>
    <w:lvl w:ilvl="5">
      <w:start w:val="1"/>
      <w:numFmt w:val="bullet"/>
      <w:lvlText w:val="■"/>
      <w:lvlJc w:val="left"/>
      <w:pPr>
        <w:ind w:left="5760" w:firstLine="11160"/>
      </w:pPr>
      <w:rPr>
        <w:rFonts w:cs="Arial" w:hAnsi="Arial" w:eastAsia="Arial" w:ascii="Arial"/>
        <w:u w:val="none"/>
      </w:rPr>
    </w:lvl>
    <w:lvl w:ilvl="6">
      <w:start w:val="1"/>
      <w:numFmt w:val="bullet"/>
      <w:lvlText w:val="●"/>
      <w:lvlJc w:val="left"/>
      <w:pPr>
        <w:ind w:left="6480" w:firstLine="12600"/>
      </w:pPr>
      <w:rPr>
        <w:rFonts w:cs="Arial" w:hAnsi="Arial" w:eastAsia="Arial" w:ascii="Arial"/>
        <w:u w:val="none"/>
      </w:rPr>
    </w:lvl>
    <w:lvl w:ilvl="7">
      <w:start w:val="1"/>
      <w:numFmt w:val="bullet"/>
      <w:lvlText w:val="○"/>
      <w:lvlJc w:val="left"/>
      <w:pPr>
        <w:ind w:left="7200" w:firstLine="14040"/>
      </w:pPr>
      <w:rPr>
        <w:rFonts w:cs="Arial" w:hAnsi="Arial" w:eastAsia="Arial" w:ascii="Arial"/>
        <w:u w:val="none"/>
      </w:rPr>
    </w:lvl>
    <w:lvl w:ilvl="8">
      <w:start w:val="1"/>
      <w:numFmt w:val="bullet"/>
      <w:lvlText w:val="■"/>
      <w:lvlJc w:val="left"/>
      <w:pPr>
        <w:ind w:left="7920" w:firstLine="15480"/>
      </w:pPr>
      <w:rPr>
        <w:rFonts w:cs="Arial" w:hAnsi="Arial" w:eastAsia="Arial" w:ascii="Arial"/>
        <w:u w:val="none"/>
      </w:rPr>
    </w:lvl>
  </w:abstractNum>
  <w:abstractNum w:abstractNumId="4">
    <w:lvl w:ilvl="0">
      <w:start w:val="1"/>
      <w:numFmt w:val="bullet"/>
      <w:lvlText w:val="●"/>
      <w:lvlJc w:val="left"/>
      <w:pPr>
        <w:ind w:left="1440" w:firstLine="2520"/>
      </w:pPr>
      <w:rPr>
        <w:rFonts w:cs="Arial" w:hAnsi="Arial" w:eastAsia="Arial" w:ascii="Arial"/>
        <w:u w:val="none"/>
      </w:rPr>
    </w:lvl>
    <w:lvl w:ilvl="1">
      <w:start w:val="1"/>
      <w:numFmt w:val="bullet"/>
      <w:lvlText w:val="○"/>
      <w:lvlJc w:val="left"/>
      <w:pPr>
        <w:ind w:left="2160" w:firstLine="3960"/>
      </w:pPr>
      <w:rPr>
        <w:rFonts w:cs="Arial" w:hAnsi="Arial" w:eastAsia="Arial" w:ascii="Arial"/>
        <w:u w:val="none"/>
      </w:rPr>
    </w:lvl>
    <w:lvl w:ilvl="2">
      <w:start w:val="1"/>
      <w:numFmt w:val="bullet"/>
      <w:lvlText w:val="■"/>
      <w:lvlJc w:val="left"/>
      <w:pPr>
        <w:ind w:left="2880" w:firstLine="5400"/>
      </w:pPr>
      <w:rPr>
        <w:rFonts w:cs="Arial" w:hAnsi="Arial" w:eastAsia="Arial" w:ascii="Arial"/>
        <w:u w:val="none"/>
      </w:rPr>
    </w:lvl>
    <w:lvl w:ilvl="3">
      <w:start w:val="1"/>
      <w:numFmt w:val="bullet"/>
      <w:lvlText w:val="●"/>
      <w:lvlJc w:val="left"/>
      <w:pPr>
        <w:ind w:left="3600" w:firstLine="6840"/>
      </w:pPr>
      <w:rPr>
        <w:rFonts w:cs="Arial" w:hAnsi="Arial" w:eastAsia="Arial" w:ascii="Arial"/>
        <w:u w:val="none"/>
      </w:rPr>
    </w:lvl>
    <w:lvl w:ilvl="4">
      <w:start w:val="1"/>
      <w:numFmt w:val="bullet"/>
      <w:lvlText w:val="○"/>
      <w:lvlJc w:val="left"/>
      <w:pPr>
        <w:ind w:left="4320" w:firstLine="8280"/>
      </w:pPr>
      <w:rPr>
        <w:rFonts w:cs="Arial" w:hAnsi="Arial" w:eastAsia="Arial" w:ascii="Arial"/>
        <w:u w:val="none"/>
      </w:rPr>
    </w:lvl>
    <w:lvl w:ilvl="5">
      <w:start w:val="1"/>
      <w:numFmt w:val="bullet"/>
      <w:lvlText w:val="■"/>
      <w:lvlJc w:val="left"/>
      <w:pPr>
        <w:ind w:left="5040" w:firstLine="9720"/>
      </w:pPr>
      <w:rPr>
        <w:rFonts w:cs="Arial" w:hAnsi="Arial" w:eastAsia="Arial" w:ascii="Arial"/>
        <w:u w:val="none"/>
      </w:rPr>
    </w:lvl>
    <w:lvl w:ilvl="6">
      <w:start w:val="1"/>
      <w:numFmt w:val="bullet"/>
      <w:lvlText w:val="●"/>
      <w:lvlJc w:val="left"/>
      <w:pPr>
        <w:ind w:left="5760" w:firstLine="11160"/>
      </w:pPr>
      <w:rPr>
        <w:rFonts w:cs="Arial" w:hAnsi="Arial" w:eastAsia="Arial" w:ascii="Arial"/>
        <w:u w:val="none"/>
      </w:rPr>
    </w:lvl>
    <w:lvl w:ilvl="7">
      <w:start w:val="1"/>
      <w:numFmt w:val="bullet"/>
      <w:lvlText w:val="○"/>
      <w:lvlJc w:val="left"/>
      <w:pPr>
        <w:ind w:left="6480" w:firstLine="12600"/>
      </w:pPr>
      <w:rPr>
        <w:rFonts w:cs="Arial" w:hAnsi="Arial" w:eastAsia="Arial" w:ascii="Arial"/>
        <w:u w:val="none"/>
      </w:rPr>
    </w:lvl>
    <w:lvl w:ilvl="8">
      <w:start w:val="1"/>
      <w:numFmt w:val="bullet"/>
      <w:lvlText w:val="■"/>
      <w:lvlJc w:val="left"/>
      <w:pPr>
        <w:ind w:left="7200" w:firstLine="14040"/>
      </w:pPr>
      <w:rPr>
        <w:rFonts w:cs="Arial" w:hAnsi="Arial" w:eastAsia="Arial" w:ascii="Arial"/>
        <w:u w:val="none"/>
      </w:rPr>
    </w:lvl>
  </w:abstractNum>
  <w:abstractNum w:abstractNumId="5">
    <w:lvl w:ilvl="0">
      <w:start w:val="1"/>
      <w:numFmt w:val="bullet"/>
      <w:lvlText w:val="●"/>
      <w:lvlJc w:val="left"/>
      <w:pPr>
        <w:ind w:left="1440" w:firstLine="2520"/>
      </w:pPr>
      <w:rPr>
        <w:rFonts w:cs="Arial" w:hAnsi="Arial" w:eastAsia="Arial" w:ascii="Arial"/>
        <w:u w:val="none"/>
      </w:rPr>
    </w:lvl>
    <w:lvl w:ilvl="1">
      <w:start w:val="1"/>
      <w:numFmt w:val="bullet"/>
      <w:lvlText w:val="○"/>
      <w:lvlJc w:val="left"/>
      <w:pPr>
        <w:ind w:left="2160" w:firstLine="3960"/>
      </w:pPr>
      <w:rPr>
        <w:rFonts w:cs="Arial" w:hAnsi="Arial" w:eastAsia="Arial" w:ascii="Arial"/>
        <w:u w:val="none"/>
      </w:rPr>
    </w:lvl>
    <w:lvl w:ilvl="2">
      <w:start w:val="1"/>
      <w:numFmt w:val="bullet"/>
      <w:lvlText w:val="■"/>
      <w:lvlJc w:val="left"/>
      <w:pPr>
        <w:ind w:left="2880" w:firstLine="5400"/>
      </w:pPr>
      <w:rPr>
        <w:rFonts w:cs="Arial" w:hAnsi="Arial" w:eastAsia="Arial" w:ascii="Arial"/>
        <w:u w:val="none"/>
      </w:rPr>
    </w:lvl>
    <w:lvl w:ilvl="3">
      <w:start w:val="1"/>
      <w:numFmt w:val="bullet"/>
      <w:lvlText w:val="●"/>
      <w:lvlJc w:val="left"/>
      <w:pPr>
        <w:ind w:left="3600" w:firstLine="6840"/>
      </w:pPr>
      <w:rPr>
        <w:rFonts w:cs="Arial" w:hAnsi="Arial" w:eastAsia="Arial" w:ascii="Arial"/>
        <w:u w:val="none"/>
      </w:rPr>
    </w:lvl>
    <w:lvl w:ilvl="4">
      <w:start w:val="1"/>
      <w:numFmt w:val="bullet"/>
      <w:lvlText w:val="○"/>
      <w:lvlJc w:val="left"/>
      <w:pPr>
        <w:ind w:left="4320" w:firstLine="8280"/>
      </w:pPr>
      <w:rPr>
        <w:rFonts w:cs="Arial" w:hAnsi="Arial" w:eastAsia="Arial" w:ascii="Arial"/>
        <w:u w:val="none"/>
      </w:rPr>
    </w:lvl>
    <w:lvl w:ilvl="5">
      <w:start w:val="1"/>
      <w:numFmt w:val="bullet"/>
      <w:lvlText w:val="■"/>
      <w:lvlJc w:val="left"/>
      <w:pPr>
        <w:ind w:left="5040" w:firstLine="9720"/>
      </w:pPr>
      <w:rPr>
        <w:rFonts w:cs="Arial" w:hAnsi="Arial" w:eastAsia="Arial" w:ascii="Arial"/>
        <w:u w:val="none"/>
      </w:rPr>
    </w:lvl>
    <w:lvl w:ilvl="6">
      <w:start w:val="1"/>
      <w:numFmt w:val="bullet"/>
      <w:lvlText w:val="●"/>
      <w:lvlJc w:val="left"/>
      <w:pPr>
        <w:ind w:left="5760" w:firstLine="11160"/>
      </w:pPr>
      <w:rPr>
        <w:rFonts w:cs="Arial" w:hAnsi="Arial" w:eastAsia="Arial" w:ascii="Arial"/>
        <w:u w:val="none"/>
      </w:rPr>
    </w:lvl>
    <w:lvl w:ilvl="7">
      <w:start w:val="1"/>
      <w:numFmt w:val="bullet"/>
      <w:lvlText w:val="○"/>
      <w:lvlJc w:val="left"/>
      <w:pPr>
        <w:ind w:left="6480" w:firstLine="12600"/>
      </w:pPr>
      <w:rPr>
        <w:rFonts w:cs="Arial" w:hAnsi="Arial" w:eastAsia="Arial" w:ascii="Arial"/>
        <w:u w:val="none"/>
      </w:rPr>
    </w:lvl>
    <w:lvl w:ilvl="8">
      <w:start w:val="1"/>
      <w:numFmt w:val="bullet"/>
      <w:lvlText w:val="■"/>
      <w:lvlJc w:val="left"/>
      <w:pPr>
        <w:ind w:left="7200" w:firstLine="14040"/>
      </w:pPr>
      <w:rPr>
        <w:rFonts w:cs="Arial" w:hAnsi="Arial" w:eastAsia="Arial" w:ascii="Arial"/>
        <w:u w:val="none"/>
      </w:rPr>
    </w:lvl>
  </w:abstractNum>
  <w:abstractNum w:abstractNumId="6">
    <w:lvl w:ilvl="0">
      <w:start w:val="2"/>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7">
    <w:lvl w:ilvl="0">
      <w:start w:val="1"/>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200"/>
    </w:pPr>
    <w:rPr>
      <w:rFonts w:cs="Trebuchet MS" w:hAnsi="Trebuchet MS" w:eastAsia="Trebuchet MS" w:ascii="Trebuchet MS"/>
      <w:b w:val="0"/>
      <w:color w:val="000000"/>
      <w:sz w:val="32"/>
    </w:rPr>
  </w:style>
  <w:style w:styleId="Heading2" w:type="paragraph">
    <w:name w:val="heading 2"/>
    <w:basedOn w:val="Normal"/>
    <w:next w:val="Normal"/>
    <w:pPr>
      <w:keepNext w:val="1"/>
      <w:keepLines w:val="1"/>
      <w:spacing w:lineRule="auto" w:after="0" w:line="276" w:before="200"/>
    </w:pPr>
    <w:rPr>
      <w:rFonts w:cs="Trebuchet MS" w:hAnsi="Trebuchet MS" w:eastAsia="Trebuchet MS" w:ascii="Trebuchet MS"/>
      <w:b w:val="1"/>
      <w:color w:val="000000"/>
      <w:sz w:val="26"/>
    </w:rPr>
  </w:style>
  <w:style w:styleId="Heading3" w:type="paragraph">
    <w:name w:val="heading 3"/>
    <w:basedOn w:val="Normal"/>
    <w:next w:val="Normal"/>
    <w:pPr>
      <w:keepNext w:val="1"/>
      <w:keepLines w:val="1"/>
      <w:spacing w:lineRule="auto" w:after="0" w:line="276" w:before="160"/>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line="276" w:before="160"/>
    </w:pPr>
    <w:rPr>
      <w:rFonts w:cs="Trebuchet MS" w:hAnsi="Trebuchet MS" w:eastAsia="Trebuchet MS" w:ascii="Trebuchet MS"/>
      <w:b w:val="0"/>
      <w:color w:val="666666"/>
      <w:sz w:val="22"/>
      <w:u w:val="single"/>
    </w:rPr>
  </w:style>
  <w:style w:styleId="Heading5" w:type="paragraph">
    <w:name w:val="heading 5"/>
    <w:basedOn w:val="Normal"/>
    <w:next w:val="Normal"/>
    <w:pPr>
      <w:keepNext w:val="1"/>
      <w:keepLines w:val="1"/>
      <w:spacing w:lineRule="auto" w:after="0" w:line="276" w:before="160"/>
    </w:pPr>
    <w:rPr>
      <w:rFonts w:cs="Trebuchet MS" w:hAnsi="Trebuchet MS" w:eastAsia="Trebuchet MS" w:ascii="Trebuchet MS"/>
      <w:b w:val="0"/>
      <w:color w:val="666666"/>
      <w:sz w:val="22"/>
    </w:rPr>
  </w:style>
  <w:style w:styleId="Heading6" w:type="paragraph">
    <w:name w:val="heading 6"/>
    <w:basedOn w:val="Normal"/>
    <w:next w:val="Normal"/>
    <w:pPr>
      <w:keepNext w:val="1"/>
      <w:keepLines w:val="1"/>
      <w:spacing w:lineRule="auto" w:after="0" w:line="276" w:before="160"/>
    </w:pPr>
    <w:rPr>
      <w:rFonts w:cs="Trebuchet MS" w:hAnsi="Trebuchet MS" w:eastAsia="Trebuchet MS" w:ascii="Trebuchet MS"/>
      <w:b w:val="0"/>
      <w:i w:val="1"/>
      <w:color w:val="666666"/>
      <w:sz w:val="22"/>
    </w:rPr>
  </w:style>
  <w:style w:styleId="Title" w:type="paragraph">
    <w:name w:val="Title"/>
    <w:basedOn w:val="Normal"/>
    <w:next w:val="Normal"/>
    <w:pPr>
      <w:keepNext w:val="1"/>
      <w:keepLines w:val="1"/>
      <w:spacing w:lineRule="auto" w:after="0" w:line="276" w:before="0"/>
    </w:pPr>
    <w:rPr>
      <w:rFonts w:cs="Trebuchet MS" w:hAnsi="Trebuchet MS" w:eastAsia="Trebuchet MS" w:ascii="Trebuchet MS"/>
      <w:b w:val="0"/>
      <w:color w:val="000000"/>
      <w:sz w:val="42"/>
    </w:rPr>
  </w:style>
  <w:style w:styleId="Subtitle" w:type="paragraph">
    <w:name w:val="Subtitle"/>
    <w:basedOn w:val="Normal"/>
    <w:next w:val="Normal"/>
    <w:pPr>
      <w:keepNext w:val="1"/>
      <w:keepLines w:val="1"/>
      <w:spacing w:lineRule="auto" w:after="200" w:line="276" w:before="0"/>
    </w:pPr>
    <w:rPr>
      <w:rFonts w:cs="Trebuchet MS" w:hAnsi="Trebuchet MS" w:eastAsia="Trebuchet MS" w:ascii="Trebuchet MS"/>
      <w:b w:val="0"/>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www.cde.ca.gov/ta/tg/ca/" Type="http://schemas.openxmlformats.org/officeDocument/2006/relationships/hyperlink" TargetMode="External" Id="rId10"/><Relationship Target="styles.xml" Type="http://schemas.openxmlformats.org/officeDocument/2006/relationships/styles" Id="rId4"/><Relationship Target="http:///h" Type="http://schemas.openxmlformats.org/officeDocument/2006/relationships/hyperlink" TargetMode="External" Id="rId11"/><Relationship Target="numbering.xml" Type="http://schemas.openxmlformats.org/officeDocument/2006/relationships/numbering" Id="rId3"/><Relationship Target="http://www.musd.org/reportcards" Type="http://schemas.openxmlformats.org/officeDocument/2006/relationships/hyperlink" TargetMode="External" Id="rId9"/><Relationship Target="https://docs.google.com/a/musd.org/forms/d/1-2Q6I9TodP_jc5xDEKlSyVxZZCxOSWZSHa1WptkyoVs/viewform" Type="http://schemas.openxmlformats.org/officeDocument/2006/relationships/hyperlink" TargetMode="External" Id="rId6"/><Relationship Target="media/image01.png" Type="http://schemas.openxmlformats.org/officeDocument/2006/relationships/image" Id="rId5"/><Relationship Target="https://docs.google.com/a/musd.org/forms/d/1-2Q6I9TodP_jc5xDEKlSyVxZZCxOSWZSHa1WptkyoVs/viewform" Type="http://schemas.openxmlformats.org/officeDocument/2006/relationships/hyperlink" TargetMode="External" Id="rId8"/><Relationship Target="https://docs.google.com/a/musd.org/forms/d/1-2Q6I9TodP_jc5xDEKlSyVxZZCxOSWZSHa1WptkyoVs/viewfor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Report Card Letter.docx</dc:title>
</cp:coreProperties>
</file>